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651D7" w14:textId="77777777" w:rsidR="00FD71D5" w:rsidRPr="00466D51" w:rsidRDefault="00FD71D5" w:rsidP="00FD71D5">
      <w:pPr>
        <w:pStyle w:val="Title"/>
        <w:rPr>
          <w:rFonts w:cs="Times New Roman"/>
          <w:szCs w:val="24"/>
        </w:rPr>
      </w:pPr>
      <w:r w:rsidRPr="00466D51">
        <w:rPr>
          <w:rFonts w:cs="Times New Roman"/>
          <w:szCs w:val="24"/>
        </w:rPr>
        <w:t>BEFORE THE NEW MEXICO PUBLIC REGULATION COMMISSION</w:t>
      </w:r>
    </w:p>
    <w:p w14:paraId="47EE5A4E" w14:textId="77777777" w:rsidR="00FD71D5" w:rsidRPr="00466D51" w:rsidRDefault="00FD71D5" w:rsidP="00FD71D5">
      <w:pPr>
        <w:jc w:val="center"/>
        <w:rPr>
          <w:rFonts w:cs="Times New Roman"/>
          <w:b/>
          <w:szCs w:val="24"/>
          <w:u w:val="single"/>
        </w:rPr>
      </w:pPr>
    </w:p>
    <w:p w14:paraId="2FDC9E59" w14:textId="77777777" w:rsidR="00FD71D5" w:rsidRPr="00466D51" w:rsidRDefault="00FD71D5" w:rsidP="00FD71D5">
      <w:pPr>
        <w:jc w:val="center"/>
        <w:rPr>
          <w:rFonts w:eastAsia="Times New Roman" w:cs="Times New Roman"/>
          <w:b/>
          <w:szCs w:val="24"/>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5935"/>
        <w:gridCol w:w="3415"/>
      </w:tblGrid>
      <w:tr w:rsidR="00FD71D5" w:rsidRPr="00466D51" w14:paraId="77430656" w14:textId="77777777" w:rsidTr="00625B29">
        <w:tc>
          <w:tcPr>
            <w:tcW w:w="5935" w:type="dxa"/>
          </w:tcPr>
          <w:p w14:paraId="3DB3932D" w14:textId="77777777" w:rsidR="00FD71D5" w:rsidRPr="00466D51" w:rsidRDefault="00FD71D5" w:rsidP="00625B29">
            <w:pPr>
              <w:tabs>
                <w:tab w:val="left" w:pos="5760"/>
                <w:tab w:val="center" w:pos="5850"/>
                <w:tab w:val="center" w:pos="7560"/>
              </w:tabs>
              <w:rPr>
                <w:rFonts w:eastAsia="Times New Roman" w:cs="Times New Roman"/>
                <w:b/>
                <w:szCs w:val="24"/>
              </w:rPr>
            </w:pPr>
            <w:r w:rsidRPr="00466D51">
              <w:rPr>
                <w:rFonts w:eastAsia="Times New Roman" w:cs="Times New Roman"/>
                <w:b/>
                <w:szCs w:val="24"/>
              </w:rPr>
              <w:t>AMENDED APPLICATION FOR APPROVAL OF EL PASO ELECTRIC COMPANY’S AMENDED 2019 RENEWABLE ENERGY PLAN AND 2020 RENEWABLE ENERGY PLAN PURSUANT TO THE RENEWABLE ENERGY ACT AND 17.9.572 NMAC, AND THI</w:t>
            </w:r>
            <w:r>
              <w:rPr>
                <w:rFonts w:eastAsia="Times New Roman" w:cs="Times New Roman"/>
                <w:b/>
                <w:szCs w:val="24"/>
              </w:rPr>
              <w:t>R</w:t>
            </w:r>
            <w:r w:rsidRPr="00466D51">
              <w:rPr>
                <w:rFonts w:eastAsia="Times New Roman" w:cs="Times New Roman"/>
                <w:b/>
                <w:szCs w:val="24"/>
              </w:rPr>
              <w:t>D REVI</w:t>
            </w:r>
            <w:r>
              <w:rPr>
                <w:rFonts w:eastAsia="Times New Roman" w:cs="Times New Roman"/>
                <w:b/>
                <w:szCs w:val="24"/>
              </w:rPr>
              <w:t>S</w:t>
            </w:r>
            <w:r w:rsidRPr="00466D51">
              <w:rPr>
                <w:rFonts w:eastAsia="Times New Roman" w:cs="Times New Roman"/>
                <w:b/>
                <w:szCs w:val="24"/>
              </w:rPr>
              <w:t>ED RATE NO. 38-RPS COST RIDER</w:t>
            </w:r>
          </w:p>
          <w:p w14:paraId="2D21ECD5" w14:textId="77777777" w:rsidR="00FD71D5" w:rsidRPr="00466D51" w:rsidRDefault="00FD71D5" w:rsidP="00625B29">
            <w:pPr>
              <w:tabs>
                <w:tab w:val="left" w:pos="2880"/>
                <w:tab w:val="left" w:pos="4770"/>
                <w:tab w:val="left" w:pos="5400"/>
              </w:tabs>
              <w:rPr>
                <w:rFonts w:eastAsia="Times New Roman" w:cs="Times New Roman"/>
                <w:b/>
                <w:szCs w:val="24"/>
              </w:rPr>
            </w:pPr>
            <w:r w:rsidRPr="00466D51">
              <w:rPr>
                <w:rFonts w:eastAsia="Times New Roman" w:cs="Times New Roman"/>
                <w:b/>
                <w:szCs w:val="24"/>
              </w:rPr>
              <w:tab/>
              <w:t xml:space="preserve">                        </w:t>
            </w:r>
            <w:r w:rsidRPr="00466D51">
              <w:rPr>
                <w:rFonts w:eastAsia="Times New Roman" w:cs="Times New Roman"/>
                <w:b/>
                <w:szCs w:val="24"/>
              </w:rPr>
              <w:tab/>
            </w:r>
          </w:p>
          <w:p w14:paraId="098765CC" w14:textId="77777777" w:rsidR="00FD71D5" w:rsidRPr="00466D51" w:rsidRDefault="00FD71D5" w:rsidP="00625B29">
            <w:pPr>
              <w:tabs>
                <w:tab w:val="left" w:pos="2880"/>
                <w:tab w:val="left" w:pos="4770"/>
                <w:tab w:val="left" w:pos="5400"/>
              </w:tabs>
              <w:rPr>
                <w:rFonts w:eastAsia="Times New Roman" w:cs="Times New Roman"/>
                <w:b/>
                <w:szCs w:val="24"/>
              </w:rPr>
            </w:pPr>
            <w:r w:rsidRPr="00466D51">
              <w:rPr>
                <w:rFonts w:eastAsia="Times New Roman" w:cs="Times New Roman"/>
                <w:b/>
                <w:szCs w:val="24"/>
              </w:rPr>
              <w:tab/>
            </w:r>
            <w:r w:rsidRPr="00466D51">
              <w:rPr>
                <w:rFonts w:eastAsia="Times New Roman" w:cs="Times New Roman"/>
                <w:b/>
                <w:szCs w:val="24"/>
              </w:rPr>
              <w:tab/>
              <w:t xml:space="preserve">           </w:t>
            </w:r>
          </w:p>
          <w:p w14:paraId="2A59025A" w14:textId="77777777" w:rsidR="00FD71D5" w:rsidRPr="00466D51" w:rsidRDefault="00FD71D5" w:rsidP="00625B29">
            <w:pPr>
              <w:tabs>
                <w:tab w:val="left" w:pos="2880"/>
                <w:tab w:val="left" w:pos="4770"/>
                <w:tab w:val="left" w:pos="5655"/>
                <w:tab w:val="right" w:pos="8244"/>
              </w:tabs>
              <w:rPr>
                <w:rFonts w:eastAsia="Times New Roman" w:cs="Times New Roman"/>
                <w:b/>
                <w:szCs w:val="24"/>
              </w:rPr>
            </w:pPr>
            <w:r w:rsidRPr="00466D51">
              <w:rPr>
                <w:rFonts w:eastAsia="Times New Roman" w:cs="Times New Roman"/>
                <w:b/>
                <w:szCs w:val="24"/>
              </w:rPr>
              <w:t xml:space="preserve">EL PASO ELECTRIC COMPANY, </w:t>
            </w:r>
          </w:p>
          <w:p w14:paraId="33BBF5DC" w14:textId="77777777" w:rsidR="00FD71D5" w:rsidRPr="00466D51" w:rsidRDefault="00FD71D5" w:rsidP="00625B29">
            <w:pPr>
              <w:tabs>
                <w:tab w:val="left" w:pos="2880"/>
                <w:tab w:val="left" w:pos="4770"/>
                <w:tab w:val="left" w:pos="5655"/>
                <w:tab w:val="right" w:pos="8244"/>
              </w:tabs>
              <w:rPr>
                <w:rFonts w:eastAsia="Times New Roman" w:cs="Times New Roman"/>
                <w:b/>
                <w:szCs w:val="24"/>
              </w:rPr>
            </w:pPr>
            <w:r w:rsidRPr="00466D51">
              <w:rPr>
                <w:rFonts w:eastAsia="Times New Roman" w:cs="Times New Roman"/>
                <w:b/>
                <w:szCs w:val="24"/>
              </w:rPr>
              <w:tab/>
            </w:r>
          </w:p>
          <w:p w14:paraId="4CD3D77B" w14:textId="77777777" w:rsidR="00FD71D5" w:rsidRPr="00466D51" w:rsidRDefault="00FD71D5" w:rsidP="00625B29">
            <w:pPr>
              <w:rPr>
                <w:rFonts w:eastAsia="Times New Roman" w:cs="Times New Roman"/>
                <w:b/>
                <w:szCs w:val="24"/>
              </w:rPr>
            </w:pPr>
            <w:r w:rsidRPr="00466D51">
              <w:rPr>
                <w:rFonts w:eastAsia="Times New Roman" w:cs="Times New Roman"/>
                <w:b/>
                <w:szCs w:val="24"/>
              </w:rPr>
              <w:tab/>
              <w:t xml:space="preserve">             Applicant.</w:t>
            </w:r>
          </w:p>
          <w:p w14:paraId="75FE6C5C" w14:textId="77777777" w:rsidR="00FD71D5" w:rsidRPr="00466D51" w:rsidRDefault="00FD71D5" w:rsidP="00625B29">
            <w:pPr>
              <w:rPr>
                <w:rFonts w:eastAsia="Times New Roman" w:cs="Times New Roman"/>
                <w:b/>
                <w:szCs w:val="24"/>
              </w:rPr>
            </w:pPr>
          </w:p>
        </w:tc>
        <w:tc>
          <w:tcPr>
            <w:tcW w:w="3415" w:type="dxa"/>
          </w:tcPr>
          <w:p w14:paraId="3C900E17" w14:textId="77777777" w:rsidR="00FD71D5" w:rsidRPr="00466D51" w:rsidRDefault="00FD71D5" w:rsidP="00625B29">
            <w:pPr>
              <w:rPr>
                <w:rFonts w:eastAsia="Times New Roman" w:cs="Times New Roman"/>
                <w:b/>
                <w:szCs w:val="24"/>
              </w:rPr>
            </w:pPr>
          </w:p>
          <w:p w14:paraId="7D796E2E" w14:textId="77777777" w:rsidR="00FD71D5" w:rsidRPr="00466D51" w:rsidRDefault="00FD71D5" w:rsidP="00625B29">
            <w:pPr>
              <w:jc w:val="right"/>
              <w:rPr>
                <w:rFonts w:eastAsia="Times New Roman" w:cs="Times New Roman"/>
                <w:b/>
                <w:szCs w:val="24"/>
              </w:rPr>
            </w:pPr>
          </w:p>
          <w:p w14:paraId="3684D525" w14:textId="77777777" w:rsidR="00FD71D5" w:rsidRPr="00466D51" w:rsidRDefault="00FD71D5" w:rsidP="00625B29">
            <w:pPr>
              <w:jc w:val="right"/>
              <w:rPr>
                <w:rFonts w:eastAsia="Times New Roman" w:cs="Times New Roman"/>
                <w:b/>
                <w:szCs w:val="24"/>
              </w:rPr>
            </w:pPr>
          </w:p>
          <w:p w14:paraId="20F1BECA" w14:textId="77777777" w:rsidR="00FD71D5" w:rsidRPr="00466D51" w:rsidRDefault="00FD71D5" w:rsidP="00625B29">
            <w:pPr>
              <w:jc w:val="right"/>
              <w:rPr>
                <w:rFonts w:eastAsia="Times New Roman" w:cs="Times New Roman"/>
                <w:b/>
                <w:szCs w:val="24"/>
              </w:rPr>
            </w:pPr>
          </w:p>
          <w:p w14:paraId="753116C2" w14:textId="77777777" w:rsidR="00FD71D5" w:rsidRPr="00466D51" w:rsidRDefault="00FD71D5" w:rsidP="00FE04F2">
            <w:pPr>
              <w:rPr>
                <w:rFonts w:eastAsia="Times New Roman" w:cs="Times New Roman"/>
                <w:b/>
                <w:szCs w:val="24"/>
              </w:rPr>
            </w:pPr>
            <w:r w:rsidRPr="00466D51">
              <w:rPr>
                <w:rFonts w:eastAsia="Times New Roman" w:cs="Times New Roman"/>
                <w:b/>
                <w:szCs w:val="24"/>
              </w:rPr>
              <w:t>Case No. 19-00099-UT</w:t>
            </w:r>
          </w:p>
        </w:tc>
      </w:tr>
      <w:tr w:rsidR="00FD71D5" w:rsidRPr="00466D51" w14:paraId="15698FED" w14:textId="77777777" w:rsidTr="00625B29">
        <w:tc>
          <w:tcPr>
            <w:tcW w:w="9350" w:type="dxa"/>
            <w:gridSpan w:val="2"/>
          </w:tcPr>
          <w:p w14:paraId="615706CE" w14:textId="77777777" w:rsidR="00FD71D5" w:rsidRPr="00466D51" w:rsidRDefault="00FD71D5" w:rsidP="00625B29">
            <w:pPr>
              <w:rPr>
                <w:rFonts w:eastAsia="Times New Roman" w:cs="Times New Roman"/>
                <w:b/>
                <w:szCs w:val="24"/>
              </w:rPr>
            </w:pPr>
          </w:p>
          <w:p w14:paraId="62ACE686" w14:textId="77777777" w:rsidR="00FD71D5" w:rsidRPr="00466D51" w:rsidRDefault="00FD71D5" w:rsidP="00625B29">
            <w:pPr>
              <w:jc w:val="center"/>
              <w:rPr>
                <w:rFonts w:eastAsia="Times New Roman" w:cs="Times New Roman"/>
                <w:b/>
                <w:szCs w:val="24"/>
              </w:rPr>
            </w:pPr>
            <w:r w:rsidRPr="00466D51">
              <w:rPr>
                <w:rFonts w:eastAsia="Times New Roman" w:cs="Times New Roman"/>
                <w:b/>
                <w:szCs w:val="24"/>
              </w:rPr>
              <w:t>AND</w:t>
            </w:r>
          </w:p>
          <w:p w14:paraId="1E148CC8" w14:textId="77777777" w:rsidR="00FD71D5" w:rsidRPr="00466D51" w:rsidRDefault="00FD71D5" w:rsidP="00625B29">
            <w:pPr>
              <w:rPr>
                <w:rFonts w:eastAsia="Times New Roman" w:cs="Times New Roman"/>
                <w:b/>
                <w:szCs w:val="24"/>
              </w:rPr>
            </w:pPr>
          </w:p>
        </w:tc>
      </w:tr>
      <w:tr w:rsidR="00FD71D5" w:rsidRPr="00466D51" w14:paraId="3822C37D" w14:textId="77777777" w:rsidTr="00625B29">
        <w:tc>
          <w:tcPr>
            <w:tcW w:w="5935" w:type="dxa"/>
          </w:tcPr>
          <w:p w14:paraId="0DC34494" w14:textId="77777777" w:rsidR="00FD71D5" w:rsidRPr="00466D51" w:rsidRDefault="00FD71D5" w:rsidP="00625B29">
            <w:pPr>
              <w:tabs>
                <w:tab w:val="left" w:pos="2880"/>
                <w:tab w:val="left" w:pos="4770"/>
                <w:tab w:val="left" w:pos="5760"/>
              </w:tabs>
              <w:rPr>
                <w:rFonts w:eastAsia="Times New Roman" w:cs="Times New Roman"/>
                <w:b/>
                <w:szCs w:val="24"/>
              </w:rPr>
            </w:pPr>
          </w:p>
          <w:p w14:paraId="172A8E33" w14:textId="77777777" w:rsidR="00FD71D5" w:rsidRPr="00466D51" w:rsidRDefault="00FD71D5" w:rsidP="00625B29">
            <w:pPr>
              <w:tabs>
                <w:tab w:val="left" w:pos="2880"/>
                <w:tab w:val="left" w:pos="4770"/>
                <w:tab w:val="left" w:pos="5760"/>
              </w:tabs>
              <w:rPr>
                <w:rFonts w:eastAsia="Times New Roman" w:cs="Times New Roman"/>
                <w:b/>
                <w:szCs w:val="24"/>
              </w:rPr>
            </w:pPr>
            <w:r w:rsidRPr="00466D51">
              <w:rPr>
                <w:rFonts w:eastAsia="Times New Roman" w:cs="Times New Roman"/>
                <w:b/>
                <w:szCs w:val="24"/>
              </w:rPr>
              <w:t>IN THE MATTER OF EL PASO ELECTRIC COMPANY'S APPLICATION FOR APPROVAL OF LONG-TERM PURCHASED POWER AGREEMENTS WITH HECATE ENERGY SANTA TERESA, LLC, BUENA VISTA ENERGY, LLC, AND CANUTILLO ENERGY CENTER LLC</w:t>
            </w:r>
          </w:p>
          <w:p w14:paraId="569E095A" w14:textId="77777777" w:rsidR="00FD71D5" w:rsidRPr="00466D51" w:rsidRDefault="00FD71D5" w:rsidP="00625B29">
            <w:pPr>
              <w:tabs>
                <w:tab w:val="left" w:pos="2880"/>
                <w:tab w:val="left" w:pos="4770"/>
                <w:tab w:val="left" w:pos="5760"/>
              </w:tabs>
              <w:rPr>
                <w:rFonts w:eastAsia="Times New Roman" w:cs="Times New Roman"/>
                <w:b/>
                <w:szCs w:val="24"/>
              </w:rPr>
            </w:pPr>
          </w:p>
          <w:p w14:paraId="07D99ED6" w14:textId="77777777" w:rsidR="00FD71D5" w:rsidRPr="00466D51" w:rsidRDefault="00FD71D5" w:rsidP="00625B29">
            <w:pPr>
              <w:tabs>
                <w:tab w:val="left" w:pos="2880"/>
                <w:tab w:val="left" w:pos="4770"/>
                <w:tab w:val="left" w:pos="5655"/>
                <w:tab w:val="right" w:pos="8244"/>
              </w:tabs>
              <w:rPr>
                <w:rFonts w:eastAsia="Times New Roman" w:cs="Times New Roman"/>
                <w:b/>
                <w:szCs w:val="24"/>
              </w:rPr>
            </w:pPr>
            <w:r w:rsidRPr="00466D51">
              <w:rPr>
                <w:rFonts w:eastAsia="Times New Roman" w:cs="Times New Roman"/>
                <w:b/>
                <w:szCs w:val="24"/>
              </w:rPr>
              <w:t xml:space="preserve">EL PASO ELECTRIC COMPANY, </w:t>
            </w:r>
          </w:p>
          <w:p w14:paraId="42AF22C0" w14:textId="77777777" w:rsidR="00FD71D5" w:rsidRPr="00466D51" w:rsidRDefault="00FD71D5" w:rsidP="00625B29">
            <w:pPr>
              <w:tabs>
                <w:tab w:val="left" w:pos="2880"/>
                <w:tab w:val="left" w:pos="4770"/>
                <w:tab w:val="left" w:pos="5655"/>
                <w:tab w:val="right" w:pos="8244"/>
              </w:tabs>
              <w:rPr>
                <w:rFonts w:eastAsia="Times New Roman" w:cs="Times New Roman"/>
                <w:b/>
                <w:szCs w:val="24"/>
              </w:rPr>
            </w:pPr>
            <w:r w:rsidRPr="00466D51">
              <w:rPr>
                <w:rFonts w:eastAsia="Times New Roman" w:cs="Times New Roman"/>
                <w:b/>
                <w:szCs w:val="24"/>
              </w:rPr>
              <w:tab/>
            </w:r>
          </w:p>
          <w:p w14:paraId="53D503A1" w14:textId="77777777" w:rsidR="00FD71D5" w:rsidRPr="00466D51" w:rsidRDefault="00FD71D5" w:rsidP="00625B29">
            <w:pPr>
              <w:rPr>
                <w:rFonts w:eastAsia="Times New Roman" w:cs="Times New Roman"/>
                <w:b/>
                <w:szCs w:val="24"/>
              </w:rPr>
            </w:pPr>
            <w:r w:rsidRPr="00466D51">
              <w:rPr>
                <w:rFonts w:eastAsia="Times New Roman" w:cs="Times New Roman"/>
                <w:b/>
                <w:szCs w:val="24"/>
              </w:rPr>
              <w:tab/>
              <w:t xml:space="preserve">             Applicant.</w:t>
            </w:r>
          </w:p>
          <w:p w14:paraId="2DF91633" w14:textId="77777777" w:rsidR="00FD71D5" w:rsidRPr="00466D51" w:rsidRDefault="00FD71D5" w:rsidP="00625B29">
            <w:pPr>
              <w:tabs>
                <w:tab w:val="left" w:pos="2880"/>
                <w:tab w:val="left" w:pos="4770"/>
                <w:tab w:val="left" w:pos="5400"/>
              </w:tabs>
              <w:rPr>
                <w:rFonts w:eastAsia="Times New Roman" w:cs="Times New Roman"/>
                <w:b/>
                <w:szCs w:val="24"/>
              </w:rPr>
            </w:pPr>
          </w:p>
        </w:tc>
        <w:tc>
          <w:tcPr>
            <w:tcW w:w="3415" w:type="dxa"/>
          </w:tcPr>
          <w:p w14:paraId="47D56CC8" w14:textId="77777777" w:rsidR="00FD71D5" w:rsidRPr="00466D51" w:rsidRDefault="00FD71D5" w:rsidP="00625B29">
            <w:pPr>
              <w:rPr>
                <w:rFonts w:eastAsia="Times New Roman" w:cs="Times New Roman"/>
                <w:b/>
                <w:szCs w:val="24"/>
              </w:rPr>
            </w:pPr>
          </w:p>
          <w:p w14:paraId="61BB0EB8" w14:textId="77777777" w:rsidR="00FD71D5" w:rsidRPr="00466D51" w:rsidRDefault="00FD71D5" w:rsidP="00625B29">
            <w:pPr>
              <w:rPr>
                <w:rFonts w:eastAsia="Times New Roman" w:cs="Times New Roman"/>
                <w:b/>
                <w:szCs w:val="24"/>
              </w:rPr>
            </w:pPr>
          </w:p>
          <w:p w14:paraId="60308F6B" w14:textId="77777777" w:rsidR="00FD71D5" w:rsidRPr="00466D51" w:rsidRDefault="00FD71D5" w:rsidP="00625B29">
            <w:pPr>
              <w:rPr>
                <w:rFonts w:eastAsia="Times New Roman" w:cs="Times New Roman"/>
                <w:b/>
                <w:szCs w:val="24"/>
              </w:rPr>
            </w:pPr>
          </w:p>
          <w:p w14:paraId="41FAEF43" w14:textId="77777777" w:rsidR="00FD71D5" w:rsidRPr="00466D51" w:rsidRDefault="00FD71D5" w:rsidP="00625B29">
            <w:pPr>
              <w:jc w:val="right"/>
              <w:rPr>
                <w:rFonts w:eastAsia="Times New Roman" w:cs="Times New Roman"/>
                <w:b/>
                <w:szCs w:val="24"/>
              </w:rPr>
            </w:pPr>
          </w:p>
          <w:p w14:paraId="52B9ACB0" w14:textId="77777777" w:rsidR="00FD71D5" w:rsidRPr="00466D51" w:rsidRDefault="00FD71D5" w:rsidP="00FE04F2">
            <w:pPr>
              <w:rPr>
                <w:rFonts w:eastAsia="Times New Roman" w:cs="Times New Roman"/>
                <w:b/>
                <w:szCs w:val="24"/>
              </w:rPr>
            </w:pPr>
            <w:r w:rsidRPr="00466D51">
              <w:rPr>
                <w:rFonts w:eastAsia="Times New Roman" w:cs="Times New Roman"/>
                <w:b/>
                <w:szCs w:val="24"/>
              </w:rPr>
              <w:t>Case No. 19-00348 -UT</w:t>
            </w:r>
          </w:p>
        </w:tc>
      </w:tr>
    </w:tbl>
    <w:p w14:paraId="28B26D4D" w14:textId="77777777" w:rsidR="00FD71D5" w:rsidRPr="00466D51" w:rsidRDefault="00FD71D5" w:rsidP="00FD71D5">
      <w:pPr>
        <w:tabs>
          <w:tab w:val="left" w:pos="2880"/>
          <w:tab w:val="left" w:pos="4770"/>
          <w:tab w:val="left" w:pos="5400"/>
        </w:tabs>
        <w:rPr>
          <w:rFonts w:eastAsia="Times New Roman" w:cs="Times New Roman"/>
          <w:b/>
          <w:szCs w:val="24"/>
        </w:rPr>
      </w:pPr>
    </w:p>
    <w:p w14:paraId="6017E31C" w14:textId="77777777" w:rsidR="00FD71D5" w:rsidRPr="00466D51" w:rsidRDefault="00FD71D5" w:rsidP="00FD71D5">
      <w:pPr>
        <w:rPr>
          <w:rFonts w:cs="Times New Roman"/>
          <w:b/>
          <w:szCs w:val="24"/>
        </w:rPr>
      </w:pPr>
    </w:p>
    <w:p w14:paraId="0F709599" w14:textId="77777777" w:rsidR="00FD71D5" w:rsidRDefault="00FD71D5" w:rsidP="00FD71D5">
      <w:pPr>
        <w:jc w:val="center"/>
        <w:rPr>
          <w:rFonts w:cs="Times New Roman"/>
          <w:b/>
          <w:szCs w:val="24"/>
        </w:rPr>
      </w:pPr>
      <w:r>
        <w:rPr>
          <w:rFonts w:cs="Times New Roman"/>
          <w:b/>
          <w:szCs w:val="24"/>
        </w:rPr>
        <w:t>NOTICE TO EPE CUSTOMERS</w:t>
      </w:r>
    </w:p>
    <w:p w14:paraId="6D27BBB0" w14:textId="77777777" w:rsidR="00FD71D5" w:rsidRDefault="00FD71D5" w:rsidP="00FD71D5">
      <w:pPr>
        <w:rPr>
          <w:rFonts w:cs="Times New Roman"/>
          <w:b/>
          <w:szCs w:val="24"/>
        </w:rPr>
      </w:pPr>
    </w:p>
    <w:p w14:paraId="2858361E" w14:textId="77777777" w:rsidR="00FD71D5" w:rsidRPr="009520F7" w:rsidRDefault="00FD71D5" w:rsidP="009520F7">
      <w:pPr>
        <w:autoSpaceDE w:val="0"/>
        <w:autoSpaceDN w:val="0"/>
        <w:adjustRightInd w:val="0"/>
        <w:spacing w:line="480" w:lineRule="auto"/>
        <w:rPr>
          <w:rFonts w:cs="Times New Roman"/>
          <w:szCs w:val="24"/>
        </w:rPr>
      </w:pPr>
      <w:r>
        <w:rPr>
          <w:rFonts w:cs="Times New Roman"/>
          <w:b/>
          <w:szCs w:val="24"/>
        </w:rPr>
        <w:tab/>
      </w:r>
      <w:r w:rsidRPr="009520F7">
        <w:rPr>
          <w:rFonts w:cs="Times New Roman"/>
          <w:b/>
          <w:szCs w:val="24"/>
        </w:rPr>
        <w:t xml:space="preserve">NOTICE </w:t>
      </w:r>
      <w:r w:rsidRPr="009520F7">
        <w:rPr>
          <w:rFonts w:cs="Times New Roman"/>
          <w:szCs w:val="24"/>
        </w:rPr>
        <w:t>is hereby given by the New Mexico Public Regulation Commission ("Commission" or “NMPRC”) of the following:</w:t>
      </w:r>
    </w:p>
    <w:p w14:paraId="5B20D505" w14:textId="77777777" w:rsidR="00FD71D5" w:rsidRPr="009520F7" w:rsidRDefault="00FD71D5" w:rsidP="009520F7">
      <w:pPr>
        <w:autoSpaceDE w:val="0"/>
        <w:autoSpaceDN w:val="0"/>
        <w:adjustRightInd w:val="0"/>
        <w:spacing w:line="480" w:lineRule="auto"/>
        <w:ind w:firstLine="720"/>
        <w:rPr>
          <w:rFonts w:cs="Times New Roman"/>
          <w:szCs w:val="24"/>
        </w:rPr>
      </w:pPr>
      <w:r w:rsidRPr="009520F7">
        <w:rPr>
          <w:rFonts w:cs="Times New Roman"/>
          <w:szCs w:val="24"/>
        </w:rPr>
        <w:t xml:space="preserve">On July 29, 2022, pursuant to the New Mexico Renewable Energy Act (NMSA 1978, §§ 62-16-1 to -10 (2004, as amended through 2021)) and Commission Rule 17.9.551 and Rule 17.9.572 of the New Mexico Administrative Code (“NMAC”), EPE filed an application </w:t>
      </w:r>
      <w:r w:rsidRPr="009520F7">
        <w:rPr>
          <w:rFonts w:cs="Times New Roman"/>
          <w:szCs w:val="24"/>
        </w:rPr>
        <w:lastRenderedPageBreak/>
        <w:t xml:space="preserve">requesting approval of amendments to four Purchased </w:t>
      </w:r>
      <w:r w:rsidRPr="009520F7">
        <w:rPr>
          <w:rFonts w:cs="Times New Roman"/>
          <w:bCs/>
          <w:szCs w:val="24"/>
        </w:rPr>
        <w:t>Power Agreements (“PPA”).  The original PPAs had been approved by the Commission in the above-captioned matters to meet EPE’s near term</w:t>
      </w:r>
      <w:r w:rsidRPr="009520F7">
        <w:rPr>
          <w:rFonts w:cs="Times New Roman"/>
          <w:szCs w:val="24"/>
        </w:rPr>
        <w:t xml:space="preserve"> </w:t>
      </w:r>
      <w:r w:rsidRPr="009520F7">
        <w:rPr>
          <w:rFonts w:cs="Times New Roman"/>
          <w:bCs/>
          <w:szCs w:val="24"/>
        </w:rPr>
        <w:t xml:space="preserve">resource capacity needs and renewable portfolio standard (“RPS”) requirements.  </w:t>
      </w:r>
    </w:p>
    <w:p w14:paraId="1598FC88" w14:textId="77777777" w:rsidR="00FD71D5" w:rsidRPr="009520F7" w:rsidRDefault="00FD71D5" w:rsidP="009520F7">
      <w:pPr>
        <w:autoSpaceDE w:val="0"/>
        <w:autoSpaceDN w:val="0"/>
        <w:adjustRightInd w:val="0"/>
        <w:spacing w:line="480" w:lineRule="auto"/>
        <w:ind w:firstLine="720"/>
        <w:rPr>
          <w:rFonts w:cs="Times New Roman"/>
          <w:szCs w:val="24"/>
        </w:rPr>
      </w:pPr>
      <w:r w:rsidRPr="009520F7">
        <w:rPr>
          <w:rFonts w:cs="Times New Roman"/>
          <w:bCs/>
          <w:szCs w:val="24"/>
        </w:rPr>
        <w:t>Two of the PPAs are between EPE and Buena Vista Energy Center, LLC (“BV”): (1) The PPA dated October 17, 2019, for 100 megawatts (“MW”) of solar energy and 50 MW of energy storage (“BV-PPA-1”), and (2) the PPA dated March 18, 2020, for 20 MW of solar energy (“BV-PPA-2”)</w:t>
      </w:r>
      <w:r w:rsidRPr="009520F7">
        <w:rPr>
          <w:rFonts w:cs="Times New Roman"/>
          <w:szCs w:val="24"/>
        </w:rPr>
        <w:t>.  T</w:t>
      </w:r>
      <w:r w:rsidRPr="009520F7">
        <w:rPr>
          <w:rFonts w:cs="Times New Roman"/>
          <w:bCs/>
          <w:szCs w:val="24"/>
        </w:rPr>
        <w:t>he other two PPAs are between EPE and Hecate Energy Santa Teresa, LLC (“Hecate Energy”): (1) The PPA dated October 17, 2019, for 100 MW of solar energy (“Hecate-PPA-1”), and (2) the PPA dated March 18, 2020, for 50 MW of solar energy (“Hecate-PPA-2”).</w:t>
      </w:r>
    </w:p>
    <w:p w14:paraId="291CAD79" w14:textId="77777777" w:rsidR="00FD71D5" w:rsidRPr="009520F7" w:rsidRDefault="00FD71D5" w:rsidP="009520F7">
      <w:pPr>
        <w:spacing w:line="480" w:lineRule="auto"/>
        <w:ind w:firstLine="720"/>
        <w:rPr>
          <w:rFonts w:cs="Times New Roman"/>
          <w:bCs/>
          <w:szCs w:val="24"/>
        </w:rPr>
      </w:pPr>
      <w:r w:rsidRPr="009520F7">
        <w:rPr>
          <w:rFonts w:cs="Times New Roman"/>
          <w:bCs/>
          <w:szCs w:val="24"/>
        </w:rPr>
        <w:t>BV-PPA-1, approved by the Commission in Case No. 19-00348-UT, is a twenty-year PPA to acquire 100 MW of capacity of renewable solar energy plus 50 MW capacity of battery storage from a new solar electric generating facility (“BV1”).  BV-PPA-1 was originally based on a fixed rate of $20.99/megawatt-hours (“MWh”) on the output of the solar facility and a capacity payment of $5.36/kilowatt (“kW”)-month on the storage over the twenty-year term of the contract and was anticipated to be in service by May 2022.</w:t>
      </w:r>
    </w:p>
    <w:p w14:paraId="4C37BA0C" w14:textId="77777777" w:rsidR="00FD71D5" w:rsidRPr="009520F7" w:rsidRDefault="00FD71D5" w:rsidP="009520F7">
      <w:pPr>
        <w:spacing w:line="480" w:lineRule="auto"/>
        <w:ind w:firstLine="720"/>
        <w:rPr>
          <w:rFonts w:cs="Times New Roman"/>
          <w:bCs/>
          <w:szCs w:val="24"/>
        </w:rPr>
      </w:pPr>
      <w:r w:rsidRPr="009520F7">
        <w:rPr>
          <w:rFonts w:cs="Times New Roman"/>
          <w:bCs/>
          <w:szCs w:val="24"/>
        </w:rPr>
        <w:t>BV-PPA-2, approved by the Commission in Case No. 19-00099-UT as part of EPE’s 2019-2020 REA procurement plan, is a twenty-year renewable PPA to acquire 20 MW of capacity of renewable energy and renewable energy credits (“RECs”) from a solar electric generating facility (“BV2”) for compliance with RPS requirements under the REA.  BV-PPA-2 was originally based on a fixed rate of $19.88/MWh and was anticipated to be in service by May 2022.</w:t>
      </w:r>
    </w:p>
    <w:p w14:paraId="10E935F4" w14:textId="77777777" w:rsidR="00FD71D5" w:rsidRPr="009520F7" w:rsidRDefault="00FD71D5" w:rsidP="009520F7">
      <w:pPr>
        <w:spacing w:line="480" w:lineRule="auto"/>
        <w:ind w:firstLine="720"/>
        <w:rPr>
          <w:rFonts w:cs="Times New Roman"/>
          <w:szCs w:val="24"/>
        </w:rPr>
      </w:pPr>
      <w:r w:rsidRPr="009520F7">
        <w:rPr>
          <w:rFonts w:cs="Times New Roman"/>
          <w:szCs w:val="24"/>
        </w:rPr>
        <w:t xml:space="preserve">Hecate-PPA-1, approved </w:t>
      </w:r>
      <w:r w:rsidRPr="009520F7">
        <w:rPr>
          <w:rFonts w:cs="Times New Roman"/>
          <w:bCs/>
          <w:szCs w:val="24"/>
        </w:rPr>
        <w:t xml:space="preserve">by the Commission in Case No. 19-00348-UT, </w:t>
      </w:r>
      <w:r w:rsidRPr="009520F7">
        <w:rPr>
          <w:rFonts w:cs="Times New Roman"/>
          <w:szCs w:val="24"/>
        </w:rPr>
        <w:t xml:space="preserve">is a twenty-year solar PPA to acquire 100 MW of renewable energy from a new generating facility with name </w:t>
      </w:r>
      <w:r w:rsidRPr="009520F7">
        <w:rPr>
          <w:rFonts w:cs="Times New Roman"/>
          <w:szCs w:val="24"/>
        </w:rPr>
        <w:lastRenderedPageBreak/>
        <w:t xml:space="preserve">nameplate solar photovoltaic capacity (“Hecate 1”).  Hecate-PPA-1 was originally based on a fixed rate of $14.99/MWh on the output of the solar facility which was anticipated to be in service by May 2022. </w:t>
      </w:r>
    </w:p>
    <w:p w14:paraId="5DC79214" w14:textId="77777777" w:rsidR="00FD71D5" w:rsidRPr="009520F7" w:rsidRDefault="00FD71D5" w:rsidP="009520F7">
      <w:pPr>
        <w:spacing w:line="480" w:lineRule="auto"/>
        <w:ind w:firstLine="720"/>
        <w:rPr>
          <w:rFonts w:cs="Times New Roman"/>
          <w:bCs/>
          <w:szCs w:val="24"/>
        </w:rPr>
      </w:pPr>
      <w:r w:rsidRPr="009520F7">
        <w:rPr>
          <w:rFonts w:cs="Times New Roman"/>
          <w:szCs w:val="24"/>
        </w:rPr>
        <w:t xml:space="preserve">Hecate-PPA-2, approved by the </w:t>
      </w:r>
      <w:r w:rsidRPr="009520F7">
        <w:rPr>
          <w:rFonts w:cs="Times New Roman"/>
          <w:bCs/>
          <w:szCs w:val="24"/>
        </w:rPr>
        <w:t>Commission in Case No. 19-00099-UT,</w:t>
      </w:r>
      <w:r w:rsidRPr="009520F7">
        <w:rPr>
          <w:rFonts w:cs="Times New Roman"/>
          <w:szCs w:val="24"/>
        </w:rPr>
        <w:t xml:space="preserve"> is a twenty-year solar PPA to acquire 50 MW of renewable energy and RECs for New Mexico customers from a new solar plant (“Hecate 2”).  Hecate-PPA-2 was originally based on a fixed rate of $18.93/MWh on the output of the solar facility which was anticipated to be in service by May 2022. </w:t>
      </w:r>
    </w:p>
    <w:p w14:paraId="4C3BEB32" w14:textId="77777777" w:rsidR="00FD71D5" w:rsidRPr="009520F7" w:rsidRDefault="00FD71D5" w:rsidP="009520F7">
      <w:pPr>
        <w:spacing w:line="480" w:lineRule="auto"/>
        <w:ind w:firstLine="720"/>
        <w:rPr>
          <w:rFonts w:cs="Times New Roman"/>
          <w:bCs/>
          <w:szCs w:val="24"/>
        </w:rPr>
      </w:pPr>
      <w:r w:rsidRPr="009520F7">
        <w:rPr>
          <w:rFonts w:cs="Times New Roman"/>
          <w:bCs/>
          <w:szCs w:val="24"/>
        </w:rPr>
        <w:t>Due to supply chain issues and market uncertainties, NextEra Energy Resources, LLC (“NextEra”)—which owns and will operate the Buena Vista projects—and Hecate Energy could not complete the Buena Vista projects and Hecate projects, respectively, under the terms of their associated PPAs.  Following a series of negotiations and subject to Commission approval, EPE and NextEra agreed to amend the BV-PPAs, and EPE and Hecate Energy agreed to amend the Hecate-PPAs, which make the following operative changes:</w:t>
      </w:r>
    </w:p>
    <w:p w14:paraId="31BAC684" w14:textId="77777777" w:rsidR="00FD71D5" w:rsidRPr="009520F7" w:rsidRDefault="00FD71D5" w:rsidP="009520F7">
      <w:pPr>
        <w:autoSpaceDE w:val="0"/>
        <w:autoSpaceDN w:val="0"/>
        <w:adjustRightInd w:val="0"/>
        <w:spacing w:line="480" w:lineRule="auto"/>
        <w:ind w:firstLine="720"/>
        <w:rPr>
          <w:rFonts w:cs="Times New Roman"/>
          <w:szCs w:val="24"/>
        </w:rPr>
      </w:pPr>
      <w:r w:rsidRPr="009520F7">
        <w:rPr>
          <w:rFonts w:cs="Times New Roman"/>
          <w:szCs w:val="24"/>
          <w:u w:val="single"/>
        </w:rPr>
        <w:t>Amendment 1 to BV-PPA-1</w:t>
      </w:r>
      <w:r w:rsidRPr="009520F7">
        <w:rPr>
          <w:rFonts w:cs="Times New Roman"/>
          <w:szCs w:val="24"/>
        </w:rPr>
        <w:t>: Modifies the Commercial Operation Date (“COD”) to June 1, 2023, and provides for automatic reductions in the rate if NextEra fails to meet that date; Changes the rate from $20.99 per MWh to $24.49 per MWh, an increase of $3.50 per MWh; Provides for an option to purchase the project at fair market value in the event of an uncured default by NextEra; and increases the security fund available to EPE to cover damages, including replacement energy costs, to $22,500,000 until commercial operation.</w:t>
      </w:r>
    </w:p>
    <w:p w14:paraId="655E7843" w14:textId="77777777" w:rsidR="00FD71D5" w:rsidRPr="009520F7" w:rsidRDefault="00FD71D5" w:rsidP="009520F7">
      <w:pPr>
        <w:autoSpaceDE w:val="0"/>
        <w:autoSpaceDN w:val="0"/>
        <w:adjustRightInd w:val="0"/>
        <w:spacing w:line="480" w:lineRule="auto"/>
        <w:ind w:firstLine="720"/>
        <w:rPr>
          <w:rFonts w:cs="Times New Roman"/>
          <w:szCs w:val="24"/>
        </w:rPr>
      </w:pPr>
      <w:r w:rsidRPr="009520F7">
        <w:rPr>
          <w:rFonts w:cs="Times New Roman"/>
          <w:szCs w:val="24"/>
          <w:u w:val="single"/>
        </w:rPr>
        <w:t>Amendment 1 to BV-PPA-2</w:t>
      </w:r>
      <w:r w:rsidRPr="009520F7">
        <w:rPr>
          <w:rFonts w:cs="Times New Roman"/>
          <w:szCs w:val="24"/>
        </w:rPr>
        <w:t xml:space="preserve">: Modifies the COD to June 1, 2023, and provides for automatic reductions in the rate if NextEra fails to meet that date; Changes the rate from $19.88 </w:t>
      </w:r>
      <w:r w:rsidRPr="009520F7">
        <w:rPr>
          <w:rFonts w:cs="Times New Roman"/>
          <w:szCs w:val="24"/>
        </w:rPr>
        <w:lastRenderedPageBreak/>
        <w:t xml:space="preserve">per MWh to $23.38 per MWh, an increase of $3.50 per MWh; Provides for an option to purchase the project at fair market value in the event of an uncured default by NextEra; </w:t>
      </w:r>
    </w:p>
    <w:p w14:paraId="74389906" w14:textId="77777777" w:rsidR="00FD71D5" w:rsidRPr="009520F7" w:rsidRDefault="00FD71D5" w:rsidP="009520F7">
      <w:pPr>
        <w:autoSpaceDE w:val="0"/>
        <w:autoSpaceDN w:val="0"/>
        <w:adjustRightInd w:val="0"/>
        <w:spacing w:line="480" w:lineRule="auto"/>
        <w:rPr>
          <w:rFonts w:cs="Times New Roman"/>
          <w:szCs w:val="24"/>
        </w:rPr>
      </w:pPr>
      <w:r w:rsidRPr="009520F7">
        <w:rPr>
          <w:rFonts w:cs="Times New Roman"/>
          <w:szCs w:val="24"/>
        </w:rPr>
        <w:t xml:space="preserve">and increases the security fund available to EPE to cover damages, including replacement energy costs, to $3,000,000 until commercial operation. </w:t>
      </w:r>
    </w:p>
    <w:tbl>
      <w:tblPr>
        <w:tblpPr w:leftFromText="180" w:rightFromText="180" w:vertAnchor="text" w:horzAnchor="margin" w:tblpY="1688"/>
        <w:tblW w:w="10255" w:type="dxa"/>
        <w:tblLayout w:type="fixed"/>
        <w:tblCellMar>
          <w:left w:w="0" w:type="dxa"/>
          <w:right w:w="0" w:type="dxa"/>
        </w:tblCellMar>
        <w:tblLook w:val="0000" w:firstRow="0" w:lastRow="0" w:firstColumn="0" w:lastColumn="0" w:noHBand="0" w:noVBand="0"/>
      </w:tblPr>
      <w:tblGrid>
        <w:gridCol w:w="2244"/>
        <w:gridCol w:w="736"/>
        <w:gridCol w:w="1425"/>
        <w:gridCol w:w="241"/>
        <w:gridCol w:w="1019"/>
        <w:gridCol w:w="225"/>
        <w:gridCol w:w="783"/>
        <w:gridCol w:w="297"/>
        <w:gridCol w:w="1035"/>
        <w:gridCol w:w="810"/>
        <w:gridCol w:w="392"/>
        <w:gridCol w:w="452"/>
        <w:gridCol w:w="596"/>
      </w:tblGrid>
      <w:tr w:rsidR="00FD71D5" w:rsidRPr="009520F7" w14:paraId="54CCE122" w14:textId="77777777" w:rsidTr="00120477">
        <w:trPr>
          <w:trHeight w:hRule="exact" w:val="737"/>
        </w:trPr>
        <w:tc>
          <w:tcPr>
            <w:tcW w:w="2244" w:type="dxa"/>
            <w:tcBorders>
              <w:top w:val="single" w:sz="7" w:space="0" w:color="E0E0E0"/>
              <w:left w:val="single" w:sz="4" w:space="0" w:color="E0E0E0"/>
              <w:bottom w:val="single" w:sz="7" w:space="0" w:color="000000"/>
              <w:right w:val="single" w:sz="4" w:space="0" w:color="E0E0E0"/>
            </w:tcBorders>
          </w:tcPr>
          <w:p w14:paraId="3A537098" w14:textId="77777777" w:rsidR="00FD71D5" w:rsidRPr="009520F7" w:rsidRDefault="00FD71D5" w:rsidP="009520F7">
            <w:pPr>
              <w:autoSpaceDE w:val="0"/>
              <w:autoSpaceDN w:val="0"/>
              <w:adjustRightInd w:val="0"/>
              <w:rPr>
                <w:rFonts w:cs="Times New Roman"/>
                <w:szCs w:val="24"/>
              </w:rPr>
            </w:pPr>
          </w:p>
        </w:tc>
        <w:tc>
          <w:tcPr>
            <w:tcW w:w="736" w:type="dxa"/>
            <w:tcBorders>
              <w:top w:val="single" w:sz="7" w:space="0" w:color="E0E0E0"/>
              <w:left w:val="single" w:sz="4" w:space="0" w:color="E0E0E0"/>
              <w:bottom w:val="single" w:sz="7" w:space="0" w:color="000000"/>
              <w:right w:val="single" w:sz="4" w:space="0" w:color="E0E0E0"/>
            </w:tcBorders>
          </w:tcPr>
          <w:p w14:paraId="2E1342F9" w14:textId="77777777" w:rsidR="00FD71D5" w:rsidRPr="009520F7" w:rsidRDefault="00FD71D5" w:rsidP="009520F7">
            <w:pPr>
              <w:autoSpaceDE w:val="0"/>
              <w:autoSpaceDN w:val="0"/>
              <w:adjustRightInd w:val="0"/>
              <w:rPr>
                <w:rFonts w:cs="Times New Roman"/>
                <w:szCs w:val="24"/>
              </w:rPr>
            </w:pPr>
          </w:p>
        </w:tc>
        <w:tc>
          <w:tcPr>
            <w:tcW w:w="1425" w:type="dxa"/>
            <w:tcBorders>
              <w:top w:val="single" w:sz="7" w:space="0" w:color="E0E0E0"/>
              <w:left w:val="single" w:sz="4" w:space="0" w:color="E0E0E0"/>
              <w:bottom w:val="single" w:sz="7" w:space="0" w:color="000000"/>
              <w:right w:val="single" w:sz="4" w:space="0" w:color="E0E0E0"/>
            </w:tcBorders>
          </w:tcPr>
          <w:p w14:paraId="33FD166F" w14:textId="77777777" w:rsidR="00FD71D5" w:rsidRPr="009520F7" w:rsidRDefault="00FD71D5" w:rsidP="009520F7">
            <w:pPr>
              <w:autoSpaceDE w:val="0"/>
              <w:autoSpaceDN w:val="0"/>
              <w:adjustRightInd w:val="0"/>
              <w:rPr>
                <w:rFonts w:cs="Times New Roman"/>
                <w:szCs w:val="24"/>
              </w:rPr>
            </w:pPr>
          </w:p>
        </w:tc>
        <w:tc>
          <w:tcPr>
            <w:tcW w:w="1260" w:type="dxa"/>
            <w:gridSpan w:val="2"/>
            <w:tcBorders>
              <w:top w:val="single" w:sz="7" w:space="0" w:color="E0E0E0"/>
              <w:left w:val="single" w:sz="4" w:space="0" w:color="E0E0E0"/>
              <w:bottom w:val="single" w:sz="7" w:space="0" w:color="000000"/>
              <w:right w:val="single" w:sz="4" w:space="0" w:color="E0E0E0"/>
            </w:tcBorders>
          </w:tcPr>
          <w:p w14:paraId="0F528136" w14:textId="77777777" w:rsidR="00FD71D5" w:rsidRPr="009520F7" w:rsidRDefault="00FD71D5" w:rsidP="009520F7">
            <w:pPr>
              <w:autoSpaceDE w:val="0"/>
              <w:autoSpaceDN w:val="0"/>
              <w:adjustRightInd w:val="0"/>
              <w:rPr>
                <w:rFonts w:cs="Times New Roman"/>
                <w:szCs w:val="24"/>
              </w:rPr>
            </w:pPr>
          </w:p>
        </w:tc>
        <w:tc>
          <w:tcPr>
            <w:tcW w:w="1008" w:type="dxa"/>
            <w:gridSpan w:val="2"/>
            <w:tcBorders>
              <w:top w:val="single" w:sz="7" w:space="0" w:color="E0E0E0"/>
              <w:left w:val="single" w:sz="4" w:space="0" w:color="E0E0E0"/>
              <w:bottom w:val="single" w:sz="7" w:space="0" w:color="000000"/>
              <w:right w:val="single" w:sz="4" w:space="0" w:color="E0E0E0"/>
            </w:tcBorders>
          </w:tcPr>
          <w:p w14:paraId="6B33A2C5" w14:textId="77777777" w:rsidR="00FD71D5" w:rsidRPr="009520F7" w:rsidRDefault="00FD71D5" w:rsidP="009520F7">
            <w:pPr>
              <w:autoSpaceDE w:val="0"/>
              <w:autoSpaceDN w:val="0"/>
              <w:adjustRightInd w:val="0"/>
              <w:rPr>
                <w:rFonts w:cs="Times New Roman"/>
                <w:szCs w:val="24"/>
              </w:rPr>
            </w:pPr>
          </w:p>
        </w:tc>
        <w:tc>
          <w:tcPr>
            <w:tcW w:w="1332" w:type="dxa"/>
            <w:gridSpan w:val="2"/>
            <w:tcBorders>
              <w:top w:val="single" w:sz="7" w:space="0" w:color="E0E0E0"/>
              <w:left w:val="single" w:sz="4" w:space="0" w:color="E0E0E0"/>
              <w:bottom w:val="single" w:sz="7" w:space="0" w:color="000000"/>
              <w:right w:val="single" w:sz="4" w:space="0" w:color="000000"/>
            </w:tcBorders>
          </w:tcPr>
          <w:p w14:paraId="36F85B93" w14:textId="77777777" w:rsidR="00FD71D5" w:rsidRPr="009520F7" w:rsidRDefault="00FD71D5" w:rsidP="009520F7">
            <w:pPr>
              <w:autoSpaceDE w:val="0"/>
              <w:autoSpaceDN w:val="0"/>
              <w:adjustRightInd w:val="0"/>
              <w:rPr>
                <w:rFonts w:cs="Times New Roman"/>
                <w:szCs w:val="24"/>
              </w:rPr>
            </w:pPr>
          </w:p>
        </w:tc>
        <w:tc>
          <w:tcPr>
            <w:tcW w:w="1654" w:type="dxa"/>
            <w:gridSpan w:val="3"/>
            <w:tcBorders>
              <w:top w:val="single" w:sz="7" w:space="0" w:color="000000"/>
              <w:left w:val="single" w:sz="4" w:space="0" w:color="000000"/>
              <w:bottom w:val="single" w:sz="7" w:space="0" w:color="000000"/>
              <w:right w:val="nil"/>
            </w:tcBorders>
          </w:tcPr>
          <w:p w14:paraId="70DDE18E" w14:textId="77777777" w:rsidR="00FD71D5" w:rsidRPr="009520F7" w:rsidRDefault="00FD71D5" w:rsidP="009520F7">
            <w:pPr>
              <w:kinsoku w:val="0"/>
              <w:overflowPunct w:val="0"/>
              <w:autoSpaceDE w:val="0"/>
              <w:autoSpaceDN w:val="0"/>
              <w:adjustRightInd w:val="0"/>
              <w:spacing w:before="122"/>
              <w:ind w:left="483"/>
              <w:rPr>
                <w:rFonts w:cs="Times New Roman"/>
                <w:szCs w:val="24"/>
              </w:rPr>
            </w:pPr>
            <w:r w:rsidRPr="009520F7">
              <w:rPr>
                <w:rFonts w:cs="Times New Roman"/>
                <w:b/>
                <w:bCs/>
                <w:spacing w:val="-2"/>
                <w:w w:val="70"/>
                <w:szCs w:val="24"/>
              </w:rPr>
              <w:t>Residential</w:t>
            </w:r>
            <w:r w:rsidRPr="009520F7">
              <w:rPr>
                <w:rFonts w:cs="Times New Roman"/>
                <w:b/>
                <w:bCs/>
                <w:spacing w:val="-22"/>
                <w:w w:val="70"/>
                <w:szCs w:val="24"/>
              </w:rPr>
              <w:t xml:space="preserve"> </w:t>
            </w:r>
            <w:r w:rsidRPr="009520F7">
              <w:rPr>
                <w:rFonts w:cs="Times New Roman"/>
                <w:b/>
                <w:bCs/>
                <w:spacing w:val="-2"/>
                <w:w w:val="70"/>
                <w:szCs w:val="24"/>
              </w:rPr>
              <w:t>Customer</w:t>
            </w:r>
          </w:p>
        </w:tc>
        <w:tc>
          <w:tcPr>
            <w:tcW w:w="596" w:type="dxa"/>
            <w:tcBorders>
              <w:top w:val="single" w:sz="7" w:space="0" w:color="000000"/>
              <w:left w:val="nil"/>
              <w:bottom w:val="single" w:sz="7" w:space="0" w:color="000000"/>
              <w:right w:val="single" w:sz="4" w:space="0" w:color="000000"/>
            </w:tcBorders>
          </w:tcPr>
          <w:p w14:paraId="0B22E58C" w14:textId="77777777" w:rsidR="00FD71D5" w:rsidRPr="009520F7" w:rsidRDefault="00FD71D5" w:rsidP="009520F7">
            <w:pPr>
              <w:autoSpaceDE w:val="0"/>
              <w:autoSpaceDN w:val="0"/>
              <w:adjustRightInd w:val="0"/>
              <w:rPr>
                <w:rFonts w:cs="Times New Roman"/>
                <w:szCs w:val="24"/>
              </w:rPr>
            </w:pPr>
          </w:p>
        </w:tc>
      </w:tr>
      <w:tr w:rsidR="00FD71D5" w:rsidRPr="009520F7" w14:paraId="6B63EEBF" w14:textId="77777777" w:rsidTr="00120477">
        <w:trPr>
          <w:trHeight w:hRule="exact" w:val="1352"/>
        </w:trPr>
        <w:tc>
          <w:tcPr>
            <w:tcW w:w="2244" w:type="dxa"/>
            <w:tcBorders>
              <w:top w:val="single" w:sz="7" w:space="0" w:color="000000"/>
              <w:left w:val="single" w:sz="4" w:space="0" w:color="000000"/>
              <w:bottom w:val="single" w:sz="7" w:space="0" w:color="000000"/>
              <w:right w:val="single" w:sz="4" w:space="0" w:color="000000"/>
            </w:tcBorders>
          </w:tcPr>
          <w:p w14:paraId="52E5B4CF" w14:textId="77777777" w:rsidR="00FD71D5" w:rsidRPr="009520F7" w:rsidRDefault="00FD71D5" w:rsidP="009520F7">
            <w:pPr>
              <w:kinsoku w:val="0"/>
              <w:overflowPunct w:val="0"/>
              <w:autoSpaceDE w:val="0"/>
              <w:autoSpaceDN w:val="0"/>
              <w:adjustRightInd w:val="0"/>
              <w:spacing w:before="7"/>
              <w:rPr>
                <w:rFonts w:cs="Times New Roman"/>
                <w:szCs w:val="24"/>
              </w:rPr>
            </w:pPr>
          </w:p>
          <w:p w14:paraId="515652C6" w14:textId="77777777" w:rsidR="00FD71D5" w:rsidRPr="009520F7" w:rsidRDefault="00FD71D5" w:rsidP="009520F7">
            <w:pPr>
              <w:kinsoku w:val="0"/>
              <w:overflowPunct w:val="0"/>
              <w:autoSpaceDE w:val="0"/>
              <w:autoSpaceDN w:val="0"/>
              <w:adjustRightInd w:val="0"/>
              <w:ind w:left="5"/>
              <w:rPr>
                <w:rFonts w:cs="Times New Roman"/>
                <w:szCs w:val="24"/>
              </w:rPr>
            </w:pPr>
            <w:r w:rsidRPr="009520F7">
              <w:rPr>
                <w:rFonts w:cs="Times New Roman"/>
                <w:b/>
                <w:bCs/>
                <w:spacing w:val="1"/>
                <w:w w:val="80"/>
                <w:szCs w:val="24"/>
              </w:rPr>
              <w:t>Unit</w:t>
            </w:r>
          </w:p>
        </w:tc>
        <w:tc>
          <w:tcPr>
            <w:tcW w:w="736" w:type="dxa"/>
            <w:tcBorders>
              <w:top w:val="single" w:sz="7" w:space="0" w:color="000000"/>
              <w:left w:val="single" w:sz="4" w:space="0" w:color="000000"/>
              <w:bottom w:val="single" w:sz="7" w:space="0" w:color="000000"/>
              <w:right w:val="single" w:sz="4" w:space="0" w:color="000000"/>
            </w:tcBorders>
          </w:tcPr>
          <w:p w14:paraId="77B24D25" w14:textId="77777777" w:rsidR="00FD71D5" w:rsidRPr="009520F7" w:rsidRDefault="00FD71D5" w:rsidP="009520F7">
            <w:pPr>
              <w:kinsoku w:val="0"/>
              <w:overflowPunct w:val="0"/>
              <w:autoSpaceDE w:val="0"/>
              <w:autoSpaceDN w:val="0"/>
              <w:adjustRightInd w:val="0"/>
              <w:spacing w:before="7"/>
              <w:rPr>
                <w:rFonts w:cs="Times New Roman"/>
                <w:szCs w:val="24"/>
              </w:rPr>
            </w:pPr>
          </w:p>
          <w:p w14:paraId="0E466EC5" w14:textId="77777777" w:rsidR="00FD71D5" w:rsidRPr="009520F7" w:rsidRDefault="00FD71D5" w:rsidP="009520F7">
            <w:pPr>
              <w:kinsoku w:val="0"/>
              <w:overflowPunct w:val="0"/>
              <w:autoSpaceDE w:val="0"/>
              <w:autoSpaceDN w:val="0"/>
              <w:adjustRightInd w:val="0"/>
              <w:ind w:left="29"/>
              <w:rPr>
                <w:rFonts w:cs="Times New Roman"/>
                <w:szCs w:val="24"/>
              </w:rPr>
            </w:pPr>
            <w:r w:rsidRPr="009520F7">
              <w:rPr>
                <w:rFonts w:cs="Times New Roman"/>
                <w:b/>
                <w:bCs/>
                <w:spacing w:val="-2"/>
                <w:w w:val="70"/>
                <w:szCs w:val="24"/>
              </w:rPr>
              <w:t>Initial</w:t>
            </w:r>
            <w:r w:rsidRPr="009520F7">
              <w:rPr>
                <w:rFonts w:cs="Times New Roman"/>
                <w:b/>
                <w:bCs/>
                <w:spacing w:val="-10"/>
                <w:w w:val="70"/>
                <w:szCs w:val="24"/>
              </w:rPr>
              <w:t xml:space="preserve"> </w:t>
            </w:r>
            <w:r w:rsidRPr="009520F7">
              <w:rPr>
                <w:rFonts w:cs="Times New Roman"/>
                <w:b/>
                <w:bCs/>
                <w:spacing w:val="-2"/>
                <w:w w:val="70"/>
                <w:szCs w:val="24"/>
              </w:rPr>
              <w:t>Cost</w:t>
            </w:r>
          </w:p>
        </w:tc>
        <w:tc>
          <w:tcPr>
            <w:tcW w:w="1425" w:type="dxa"/>
            <w:tcBorders>
              <w:top w:val="single" w:sz="7" w:space="0" w:color="000000"/>
              <w:left w:val="single" w:sz="4" w:space="0" w:color="000000"/>
              <w:bottom w:val="single" w:sz="7" w:space="0" w:color="000000"/>
              <w:right w:val="single" w:sz="4" w:space="0" w:color="000000"/>
            </w:tcBorders>
          </w:tcPr>
          <w:p w14:paraId="3F142574" w14:textId="77777777" w:rsidR="00FD71D5" w:rsidRPr="009520F7" w:rsidRDefault="00FD71D5" w:rsidP="009520F7">
            <w:pPr>
              <w:kinsoku w:val="0"/>
              <w:overflowPunct w:val="0"/>
              <w:autoSpaceDE w:val="0"/>
              <w:autoSpaceDN w:val="0"/>
              <w:adjustRightInd w:val="0"/>
              <w:spacing w:before="17" w:line="268" w:lineRule="auto"/>
              <w:ind w:left="30" w:right="39" w:firstLine="12"/>
              <w:rPr>
                <w:rFonts w:cs="Times New Roman"/>
                <w:szCs w:val="24"/>
              </w:rPr>
            </w:pPr>
            <w:r w:rsidRPr="009520F7">
              <w:rPr>
                <w:rFonts w:cs="Times New Roman"/>
                <w:b/>
                <w:bCs/>
                <w:spacing w:val="-2"/>
                <w:w w:val="80"/>
                <w:szCs w:val="24"/>
              </w:rPr>
              <w:t>Expected</w:t>
            </w:r>
            <w:r w:rsidRPr="009520F7">
              <w:rPr>
                <w:rFonts w:cs="Times New Roman"/>
                <w:b/>
                <w:bCs/>
                <w:spacing w:val="27"/>
                <w:w w:val="68"/>
                <w:szCs w:val="24"/>
              </w:rPr>
              <w:t xml:space="preserve"> </w:t>
            </w:r>
            <w:r w:rsidRPr="009520F7">
              <w:rPr>
                <w:rFonts w:cs="Times New Roman"/>
                <w:b/>
                <w:bCs/>
                <w:w w:val="65"/>
                <w:szCs w:val="24"/>
              </w:rPr>
              <w:t>Delivered</w:t>
            </w:r>
            <w:r w:rsidRPr="009520F7">
              <w:rPr>
                <w:rFonts w:cs="Times New Roman"/>
                <w:b/>
                <w:bCs/>
                <w:spacing w:val="43"/>
                <w:w w:val="65"/>
                <w:szCs w:val="24"/>
              </w:rPr>
              <w:t xml:space="preserve"> </w:t>
            </w:r>
            <w:r w:rsidRPr="009520F7">
              <w:rPr>
                <w:rFonts w:cs="Times New Roman"/>
                <w:b/>
                <w:bCs/>
                <w:spacing w:val="-2"/>
                <w:w w:val="65"/>
                <w:szCs w:val="24"/>
              </w:rPr>
              <w:t>Annual</w:t>
            </w:r>
          </w:p>
          <w:p w14:paraId="02ED9B3A" w14:textId="77777777" w:rsidR="00FD71D5" w:rsidRPr="009520F7" w:rsidRDefault="00FD71D5" w:rsidP="009520F7">
            <w:pPr>
              <w:kinsoku w:val="0"/>
              <w:overflowPunct w:val="0"/>
              <w:autoSpaceDE w:val="0"/>
              <w:autoSpaceDN w:val="0"/>
              <w:adjustRightInd w:val="0"/>
              <w:spacing w:line="264" w:lineRule="exact"/>
              <w:ind w:right="5"/>
              <w:rPr>
                <w:rFonts w:cs="Times New Roman"/>
                <w:szCs w:val="24"/>
              </w:rPr>
            </w:pPr>
            <w:r w:rsidRPr="009520F7">
              <w:rPr>
                <w:rFonts w:cs="Times New Roman"/>
                <w:b/>
                <w:bCs/>
                <w:spacing w:val="-2"/>
                <w:w w:val="80"/>
                <w:szCs w:val="24"/>
              </w:rPr>
              <w:t>Energy</w:t>
            </w:r>
          </w:p>
        </w:tc>
        <w:tc>
          <w:tcPr>
            <w:tcW w:w="1260" w:type="dxa"/>
            <w:gridSpan w:val="2"/>
            <w:tcBorders>
              <w:top w:val="single" w:sz="7" w:space="0" w:color="000000"/>
              <w:left w:val="single" w:sz="4" w:space="0" w:color="000000"/>
              <w:bottom w:val="single" w:sz="7" w:space="0" w:color="000000"/>
              <w:right w:val="single" w:sz="4" w:space="0" w:color="000000"/>
            </w:tcBorders>
          </w:tcPr>
          <w:p w14:paraId="7068A981" w14:textId="77777777" w:rsidR="00FD71D5" w:rsidRPr="009520F7" w:rsidRDefault="00FD71D5" w:rsidP="00120477">
            <w:pPr>
              <w:kinsoku w:val="0"/>
              <w:overflowPunct w:val="0"/>
              <w:autoSpaceDE w:val="0"/>
              <w:autoSpaceDN w:val="0"/>
              <w:adjustRightInd w:val="0"/>
              <w:spacing w:before="167" w:line="268" w:lineRule="auto"/>
              <w:ind w:right="34" w:firstLine="29"/>
              <w:rPr>
                <w:rFonts w:cs="Times New Roman"/>
                <w:szCs w:val="24"/>
              </w:rPr>
            </w:pPr>
            <w:r w:rsidRPr="009520F7">
              <w:rPr>
                <w:rFonts w:cs="Times New Roman"/>
                <w:b/>
                <w:bCs/>
                <w:spacing w:val="-2"/>
                <w:w w:val="70"/>
                <w:szCs w:val="24"/>
              </w:rPr>
              <w:t>Incremental</w:t>
            </w:r>
            <w:r w:rsidRPr="009520F7">
              <w:rPr>
                <w:rFonts w:cs="Times New Roman"/>
                <w:b/>
                <w:bCs/>
                <w:spacing w:val="-17"/>
                <w:w w:val="70"/>
                <w:szCs w:val="24"/>
              </w:rPr>
              <w:t xml:space="preserve"> </w:t>
            </w:r>
            <w:r w:rsidRPr="009520F7">
              <w:rPr>
                <w:rFonts w:cs="Times New Roman"/>
                <w:b/>
                <w:bCs/>
                <w:spacing w:val="-2"/>
                <w:w w:val="70"/>
                <w:szCs w:val="24"/>
              </w:rPr>
              <w:t>Cost</w:t>
            </w:r>
            <w:r w:rsidRPr="009520F7">
              <w:rPr>
                <w:rFonts w:cs="Times New Roman"/>
                <w:b/>
                <w:bCs/>
                <w:spacing w:val="24"/>
                <w:w w:val="68"/>
                <w:szCs w:val="24"/>
              </w:rPr>
              <w:t xml:space="preserve"> </w:t>
            </w:r>
            <w:r w:rsidRPr="009520F7">
              <w:rPr>
                <w:rFonts w:cs="Times New Roman"/>
                <w:b/>
                <w:bCs/>
                <w:spacing w:val="-3"/>
                <w:w w:val="80"/>
                <w:szCs w:val="24"/>
              </w:rPr>
              <w:t>Change</w:t>
            </w:r>
          </w:p>
        </w:tc>
        <w:tc>
          <w:tcPr>
            <w:tcW w:w="1008" w:type="dxa"/>
            <w:gridSpan w:val="2"/>
            <w:tcBorders>
              <w:top w:val="single" w:sz="7" w:space="0" w:color="000000"/>
              <w:left w:val="single" w:sz="4" w:space="0" w:color="000000"/>
              <w:bottom w:val="single" w:sz="7" w:space="0" w:color="000000"/>
              <w:right w:val="single" w:sz="4" w:space="0" w:color="000000"/>
            </w:tcBorders>
          </w:tcPr>
          <w:p w14:paraId="7A3BA4DC" w14:textId="77777777" w:rsidR="00FD71D5" w:rsidRPr="009520F7" w:rsidRDefault="00FD71D5" w:rsidP="00120477">
            <w:pPr>
              <w:kinsoku w:val="0"/>
              <w:overflowPunct w:val="0"/>
              <w:autoSpaceDE w:val="0"/>
              <w:autoSpaceDN w:val="0"/>
              <w:adjustRightInd w:val="0"/>
              <w:spacing w:before="167" w:line="268" w:lineRule="auto"/>
              <w:ind w:left="120" w:right="124" w:hanging="28"/>
              <w:rPr>
                <w:rFonts w:cs="Times New Roman"/>
                <w:szCs w:val="24"/>
              </w:rPr>
            </w:pPr>
            <w:r w:rsidRPr="009520F7">
              <w:rPr>
                <w:rFonts w:cs="Times New Roman"/>
                <w:b/>
                <w:bCs/>
                <w:spacing w:val="-2"/>
                <w:w w:val="70"/>
                <w:szCs w:val="24"/>
              </w:rPr>
              <w:t>Additional</w:t>
            </w:r>
            <w:r w:rsidRPr="009520F7">
              <w:rPr>
                <w:rFonts w:cs="Times New Roman"/>
                <w:b/>
                <w:bCs/>
                <w:spacing w:val="22"/>
                <w:w w:val="68"/>
                <w:szCs w:val="24"/>
              </w:rPr>
              <w:t xml:space="preserve"> </w:t>
            </w:r>
            <w:r w:rsidRPr="009520F7">
              <w:rPr>
                <w:rFonts w:cs="Times New Roman"/>
                <w:b/>
                <w:bCs/>
                <w:spacing w:val="-3"/>
                <w:w w:val="70"/>
                <w:szCs w:val="24"/>
              </w:rPr>
              <w:t>Annual</w:t>
            </w:r>
            <w:r w:rsidRPr="009520F7">
              <w:rPr>
                <w:rFonts w:cs="Times New Roman"/>
                <w:b/>
                <w:bCs/>
                <w:spacing w:val="-14"/>
                <w:w w:val="70"/>
                <w:szCs w:val="24"/>
              </w:rPr>
              <w:t xml:space="preserve"> </w:t>
            </w:r>
            <w:r w:rsidRPr="009520F7">
              <w:rPr>
                <w:rFonts w:cs="Times New Roman"/>
                <w:b/>
                <w:bCs/>
                <w:spacing w:val="-2"/>
                <w:w w:val="70"/>
                <w:szCs w:val="24"/>
              </w:rPr>
              <w:t>Cost</w:t>
            </w:r>
          </w:p>
        </w:tc>
        <w:tc>
          <w:tcPr>
            <w:tcW w:w="1332" w:type="dxa"/>
            <w:gridSpan w:val="2"/>
            <w:tcBorders>
              <w:top w:val="single" w:sz="7" w:space="0" w:color="000000"/>
              <w:left w:val="single" w:sz="4" w:space="0" w:color="000000"/>
              <w:bottom w:val="single" w:sz="7" w:space="0" w:color="000000"/>
              <w:right w:val="single" w:sz="4" w:space="0" w:color="000000"/>
            </w:tcBorders>
          </w:tcPr>
          <w:p w14:paraId="5D308B86" w14:textId="77777777" w:rsidR="00FD71D5" w:rsidRPr="009520F7" w:rsidRDefault="00FD71D5" w:rsidP="00120477">
            <w:pPr>
              <w:kinsoku w:val="0"/>
              <w:overflowPunct w:val="0"/>
              <w:autoSpaceDE w:val="0"/>
              <w:autoSpaceDN w:val="0"/>
              <w:adjustRightInd w:val="0"/>
              <w:spacing w:before="167" w:line="268" w:lineRule="auto"/>
              <w:ind w:left="158" w:right="134" w:hanging="28"/>
              <w:rPr>
                <w:rFonts w:cs="Times New Roman"/>
                <w:szCs w:val="24"/>
              </w:rPr>
            </w:pPr>
            <w:r w:rsidRPr="009520F7">
              <w:rPr>
                <w:rFonts w:cs="Times New Roman"/>
                <w:b/>
                <w:bCs/>
                <w:spacing w:val="-3"/>
                <w:w w:val="70"/>
                <w:szCs w:val="24"/>
              </w:rPr>
              <w:t>Annual</w:t>
            </w:r>
            <w:r w:rsidRPr="009520F7">
              <w:rPr>
                <w:rFonts w:cs="Times New Roman"/>
                <w:b/>
                <w:bCs/>
                <w:spacing w:val="-12"/>
                <w:w w:val="70"/>
                <w:szCs w:val="24"/>
              </w:rPr>
              <w:t xml:space="preserve"> </w:t>
            </w:r>
            <w:r w:rsidRPr="009520F7">
              <w:rPr>
                <w:rFonts w:cs="Times New Roman"/>
                <w:b/>
                <w:bCs/>
                <w:spacing w:val="-2"/>
                <w:w w:val="70"/>
                <w:szCs w:val="24"/>
              </w:rPr>
              <w:t>Cost</w:t>
            </w:r>
            <w:r w:rsidRPr="009520F7">
              <w:rPr>
                <w:rFonts w:cs="Times New Roman"/>
                <w:b/>
                <w:bCs/>
                <w:spacing w:val="-14"/>
                <w:w w:val="70"/>
                <w:szCs w:val="24"/>
              </w:rPr>
              <w:t xml:space="preserve"> </w:t>
            </w:r>
            <w:r w:rsidRPr="009520F7">
              <w:rPr>
                <w:rFonts w:cs="Times New Roman"/>
                <w:b/>
                <w:bCs/>
                <w:spacing w:val="1"/>
                <w:w w:val="70"/>
                <w:szCs w:val="24"/>
              </w:rPr>
              <w:t>per</w:t>
            </w:r>
            <w:r w:rsidRPr="009520F7">
              <w:rPr>
                <w:rFonts w:cs="Times New Roman"/>
                <w:b/>
                <w:bCs/>
                <w:spacing w:val="26"/>
                <w:w w:val="68"/>
                <w:szCs w:val="24"/>
              </w:rPr>
              <w:t xml:space="preserve"> </w:t>
            </w:r>
            <w:r w:rsidRPr="009520F7">
              <w:rPr>
                <w:rFonts w:cs="Times New Roman"/>
                <w:b/>
                <w:bCs/>
                <w:w w:val="80"/>
                <w:szCs w:val="24"/>
              </w:rPr>
              <w:t>kWh</w:t>
            </w:r>
          </w:p>
        </w:tc>
        <w:tc>
          <w:tcPr>
            <w:tcW w:w="810" w:type="dxa"/>
            <w:tcBorders>
              <w:top w:val="single" w:sz="7" w:space="0" w:color="000000"/>
              <w:left w:val="single" w:sz="4" w:space="0" w:color="000000"/>
              <w:bottom w:val="single" w:sz="7" w:space="0" w:color="000000"/>
              <w:right w:val="single" w:sz="5" w:space="0" w:color="000000"/>
            </w:tcBorders>
          </w:tcPr>
          <w:p w14:paraId="1215C2BF" w14:textId="77777777" w:rsidR="00FD71D5" w:rsidRPr="009520F7" w:rsidRDefault="00FD71D5" w:rsidP="009520F7">
            <w:pPr>
              <w:kinsoku w:val="0"/>
              <w:overflowPunct w:val="0"/>
              <w:autoSpaceDE w:val="0"/>
              <w:autoSpaceDN w:val="0"/>
              <w:adjustRightInd w:val="0"/>
              <w:ind w:left="120"/>
              <w:rPr>
                <w:rFonts w:cs="Times New Roman"/>
                <w:szCs w:val="24"/>
              </w:rPr>
            </w:pPr>
            <w:r w:rsidRPr="009520F7">
              <w:rPr>
                <w:rFonts w:cs="Times New Roman"/>
                <w:b/>
                <w:bCs/>
                <w:spacing w:val="-3"/>
                <w:w w:val="70"/>
                <w:szCs w:val="24"/>
              </w:rPr>
              <w:t>Average</w:t>
            </w:r>
            <w:r w:rsidRPr="009520F7">
              <w:rPr>
                <w:rFonts w:cs="Times New Roman"/>
                <w:b/>
                <w:bCs/>
                <w:spacing w:val="-14"/>
                <w:w w:val="70"/>
                <w:szCs w:val="24"/>
              </w:rPr>
              <w:t xml:space="preserve"> </w:t>
            </w:r>
            <w:r w:rsidRPr="009520F7">
              <w:rPr>
                <w:rFonts w:cs="Times New Roman"/>
                <w:b/>
                <w:bCs/>
                <w:w w:val="70"/>
                <w:szCs w:val="24"/>
              </w:rPr>
              <w:t>Bill</w:t>
            </w:r>
          </w:p>
        </w:tc>
        <w:tc>
          <w:tcPr>
            <w:tcW w:w="1440" w:type="dxa"/>
            <w:gridSpan w:val="3"/>
            <w:tcBorders>
              <w:top w:val="single" w:sz="7" w:space="0" w:color="000000"/>
              <w:left w:val="single" w:sz="5" w:space="0" w:color="000000"/>
              <w:bottom w:val="single" w:sz="7" w:space="0" w:color="000000"/>
              <w:right w:val="single" w:sz="4" w:space="0" w:color="000000"/>
            </w:tcBorders>
          </w:tcPr>
          <w:p w14:paraId="67DCE07E" w14:textId="77777777" w:rsidR="00FD71D5" w:rsidRPr="009520F7" w:rsidRDefault="00FD71D5" w:rsidP="00120477">
            <w:pPr>
              <w:kinsoku w:val="0"/>
              <w:overflowPunct w:val="0"/>
              <w:autoSpaceDE w:val="0"/>
              <w:autoSpaceDN w:val="0"/>
              <w:adjustRightInd w:val="0"/>
              <w:spacing w:before="17" w:line="268" w:lineRule="auto"/>
              <w:ind w:left="240" w:right="242"/>
              <w:jc w:val="center"/>
              <w:rPr>
                <w:rFonts w:cs="Times New Roman"/>
                <w:szCs w:val="24"/>
              </w:rPr>
            </w:pPr>
            <w:r w:rsidRPr="009520F7">
              <w:rPr>
                <w:rFonts w:cs="Times New Roman"/>
                <w:b/>
                <w:bCs/>
                <w:spacing w:val="-2"/>
                <w:w w:val="70"/>
                <w:szCs w:val="24"/>
              </w:rPr>
              <w:t>Monthly</w:t>
            </w:r>
            <w:r w:rsidRPr="009520F7">
              <w:rPr>
                <w:rFonts w:cs="Times New Roman"/>
                <w:b/>
                <w:bCs/>
                <w:spacing w:val="-19"/>
                <w:w w:val="70"/>
                <w:szCs w:val="24"/>
              </w:rPr>
              <w:t xml:space="preserve"> </w:t>
            </w:r>
            <w:r w:rsidRPr="009520F7">
              <w:rPr>
                <w:rFonts w:cs="Times New Roman"/>
                <w:b/>
                <w:bCs/>
                <w:spacing w:val="-4"/>
                <w:w w:val="70"/>
                <w:szCs w:val="24"/>
              </w:rPr>
              <w:t>rate</w:t>
            </w:r>
            <w:r w:rsidRPr="009520F7">
              <w:rPr>
                <w:rFonts w:cs="Times New Roman"/>
                <w:b/>
                <w:bCs/>
                <w:spacing w:val="26"/>
                <w:w w:val="68"/>
                <w:szCs w:val="24"/>
              </w:rPr>
              <w:t xml:space="preserve"> </w:t>
            </w:r>
            <w:r w:rsidRPr="009520F7">
              <w:rPr>
                <w:rFonts w:cs="Times New Roman"/>
                <w:b/>
                <w:bCs/>
                <w:spacing w:val="-3"/>
                <w:w w:val="70"/>
                <w:szCs w:val="24"/>
              </w:rPr>
              <w:t>impact</w:t>
            </w:r>
            <w:r w:rsidRPr="009520F7">
              <w:rPr>
                <w:rFonts w:cs="Times New Roman"/>
                <w:b/>
                <w:bCs/>
                <w:spacing w:val="-19"/>
                <w:w w:val="70"/>
                <w:szCs w:val="24"/>
              </w:rPr>
              <w:t xml:space="preserve"> </w:t>
            </w:r>
            <w:r w:rsidRPr="009520F7">
              <w:rPr>
                <w:rFonts w:cs="Times New Roman"/>
                <w:b/>
                <w:bCs/>
                <w:spacing w:val="1"/>
                <w:w w:val="70"/>
                <w:szCs w:val="24"/>
              </w:rPr>
              <w:t>per</w:t>
            </w:r>
          </w:p>
          <w:p w14:paraId="1F9D2A13" w14:textId="77777777" w:rsidR="00FD71D5" w:rsidRPr="009520F7" w:rsidRDefault="00FD71D5" w:rsidP="00120477">
            <w:pPr>
              <w:kinsoku w:val="0"/>
              <w:overflowPunct w:val="0"/>
              <w:autoSpaceDE w:val="0"/>
              <w:autoSpaceDN w:val="0"/>
              <w:adjustRightInd w:val="0"/>
              <w:spacing w:line="264" w:lineRule="exact"/>
              <w:ind w:left="12"/>
              <w:jc w:val="center"/>
              <w:rPr>
                <w:rFonts w:cs="Times New Roman"/>
                <w:szCs w:val="24"/>
              </w:rPr>
            </w:pPr>
            <w:r w:rsidRPr="009520F7">
              <w:rPr>
                <w:rFonts w:cs="Times New Roman"/>
                <w:b/>
                <w:bCs/>
                <w:spacing w:val="-2"/>
                <w:w w:val="80"/>
                <w:szCs w:val="24"/>
              </w:rPr>
              <w:t>customer</w:t>
            </w:r>
          </w:p>
        </w:tc>
      </w:tr>
      <w:tr w:rsidR="00FD71D5" w:rsidRPr="009520F7" w14:paraId="346BD991" w14:textId="77777777" w:rsidTr="00120477">
        <w:trPr>
          <w:trHeight w:hRule="exact" w:val="542"/>
        </w:trPr>
        <w:tc>
          <w:tcPr>
            <w:tcW w:w="2244" w:type="dxa"/>
            <w:tcBorders>
              <w:top w:val="single" w:sz="7" w:space="0" w:color="000000"/>
              <w:left w:val="single" w:sz="4" w:space="0" w:color="000000"/>
              <w:bottom w:val="single" w:sz="6" w:space="0" w:color="000000"/>
              <w:right w:val="single" w:sz="4" w:space="0" w:color="000000"/>
            </w:tcBorders>
          </w:tcPr>
          <w:p w14:paraId="73CAF90A" w14:textId="77777777" w:rsidR="00FD71D5" w:rsidRPr="009520F7" w:rsidRDefault="00FD71D5" w:rsidP="009520F7">
            <w:pPr>
              <w:autoSpaceDE w:val="0"/>
              <w:autoSpaceDN w:val="0"/>
              <w:adjustRightInd w:val="0"/>
              <w:rPr>
                <w:rFonts w:cs="Times New Roman"/>
                <w:szCs w:val="24"/>
              </w:rPr>
            </w:pPr>
          </w:p>
        </w:tc>
        <w:tc>
          <w:tcPr>
            <w:tcW w:w="736" w:type="dxa"/>
            <w:tcBorders>
              <w:top w:val="single" w:sz="7" w:space="0" w:color="000000"/>
              <w:left w:val="single" w:sz="4" w:space="0" w:color="000000"/>
              <w:bottom w:val="single" w:sz="6" w:space="0" w:color="000000"/>
              <w:right w:val="single" w:sz="4" w:space="0" w:color="000000"/>
            </w:tcBorders>
          </w:tcPr>
          <w:p w14:paraId="57499266" w14:textId="77777777" w:rsidR="00120477" w:rsidRDefault="00FD71D5" w:rsidP="009520F7">
            <w:pPr>
              <w:kinsoku w:val="0"/>
              <w:overflowPunct w:val="0"/>
              <w:autoSpaceDE w:val="0"/>
              <w:autoSpaceDN w:val="0"/>
              <w:adjustRightInd w:val="0"/>
              <w:spacing w:before="17" w:line="264" w:lineRule="exact"/>
              <w:ind w:left="120"/>
              <w:rPr>
                <w:rFonts w:cs="Times New Roman"/>
                <w:b/>
                <w:bCs/>
                <w:spacing w:val="-3"/>
                <w:w w:val="80"/>
                <w:szCs w:val="24"/>
              </w:rPr>
            </w:pPr>
            <w:r w:rsidRPr="009520F7">
              <w:rPr>
                <w:rFonts w:cs="Times New Roman"/>
                <w:b/>
                <w:bCs/>
                <w:spacing w:val="-3"/>
                <w:w w:val="80"/>
                <w:szCs w:val="24"/>
              </w:rPr>
              <w:t>$/</w:t>
            </w:r>
          </w:p>
          <w:p w14:paraId="4CC0E4F3" w14:textId="378DD5A3" w:rsidR="00FD71D5" w:rsidRPr="009520F7" w:rsidRDefault="00FD71D5" w:rsidP="009520F7">
            <w:pPr>
              <w:kinsoku w:val="0"/>
              <w:overflowPunct w:val="0"/>
              <w:autoSpaceDE w:val="0"/>
              <w:autoSpaceDN w:val="0"/>
              <w:adjustRightInd w:val="0"/>
              <w:spacing w:before="17" w:line="264" w:lineRule="exact"/>
              <w:ind w:left="120"/>
              <w:rPr>
                <w:rFonts w:cs="Times New Roman"/>
                <w:szCs w:val="24"/>
              </w:rPr>
            </w:pPr>
            <w:r w:rsidRPr="009520F7">
              <w:rPr>
                <w:rFonts w:cs="Times New Roman"/>
                <w:b/>
                <w:bCs/>
                <w:spacing w:val="-3"/>
                <w:w w:val="80"/>
                <w:szCs w:val="24"/>
              </w:rPr>
              <w:t>MWh</w:t>
            </w:r>
          </w:p>
        </w:tc>
        <w:tc>
          <w:tcPr>
            <w:tcW w:w="1425" w:type="dxa"/>
            <w:tcBorders>
              <w:top w:val="single" w:sz="7" w:space="0" w:color="000000"/>
              <w:left w:val="single" w:sz="4" w:space="0" w:color="000000"/>
              <w:bottom w:val="single" w:sz="6" w:space="0" w:color="000000"/>
              <w:right w:val="single" w:sz="4" w:space="0" w:color="000000"/>
            </w:tcBorders>
          </w:tcPr>
          <w:p w14:paraId="1F1C22E9" w14:textId="77777777" w:rsidR="00FD71D5" w:rsidRPr="009520F7" w:rsidRDefault="00FD71D5" w:rsidP="00120477">
            <w:pPr>
              <w:kinsoku w:val="0"/>
              <w:overflowPunct w:val="0"/>
              <w:autoSpaceDE w:val="0"/>
              <w:autoSpaceDN w:val="0"/>
              <w:adjustRightInd w:val="0"/>
              <w:spacing w:before="17" w:line="264" w:lineRule="exact"/>
              <w:ind w:left="2"/>
              <w:jc w:val="center"/>
              <w:rPr>
                <w:rFonts w:cs="Times New Roman"/>
                <w:szCs w:val="24"/>
              </w:rPr>
            </w:pPr>
            <w:r w:rsidRPr="009520F7">
              <w:rPr>
                <w:rFonts w:cs="Times New Roman"/>
                <w:b/>
                <w:bCs/>
                <w:w w:val="80"/>
                <w:szCs w:val="24"/>
              </w:rPr>
              <w:t>MWh</w:t>
            </w:r>
          </w:p>
        </w:tc>
        <w:tc>
          <w:tcPr>
            <w:tcW w:w="1260" w:type="dxa"/>
            <w:gridSpan w:val="2"/>
            <w:tcBorders>
              <w:top w:val="single" w:sz="7" w:space="0" w:color="000000"/>
              <w:left w:val="single" w:sz="4" w:space="0" w:color="000000"/>
              <w:bottom w:val="single" w:sz="6" w:space="0" w:color="000000"/>
              <w:right w:val="single" w:sz="4" w:space="0" w:color="000000"/>
            </w:tcBorders>
          </w:tcPr>
          <w:p w14:paraId="1573F5F3" w14:textId="77777777" w:rsidR="00FD71D5" w:rsidRPr="009520F7" w:rsidRDefault="00FD71D5" w:rsidP="009520F7">
            <w:pPr>
              <w:kinsoku w:val="0"/>
              <w:overflowPunct w:val="0"/>
              <w:autoSpaceDE w:val="0"/>
              <w:autoSpaceDN w:val="0"/>
              <w:adjustRightInd w:val="0"/>
              <w:spacing w:before="17" w:line="264" w:lineRule="exact"/>
              <w:ind w:left="321"/>
              <w:rPr>
                <w:rFonts w:cs="Times New Roman"/>
                <w:szCs w:val="24"/>
              </w:rPr>
            </w:pPr>
            <w:r w:rsidRPr="009520F7">
              <w:rPr>
                <w:rFonts w:cs="Times New Roman"/>
                <w:b/>
                <w:bCs/>
                <w:spacing w:val="-3"/>
                <w:w w:val="80"/>
                <w:szCs w:val="24"/>
              </w:rPr>
              <w:t>$/MWh</w:t>
            </w:r>
          </w:p>
        </w:tc>
        <w:tc>
          <w:tcPr>
            <w:tcW w:w="1008" w:type="dxa"/>
            <w:gridSpan w:val="2"/>
            <w:tcBorders>
              <w:top w:val="single" w:sz="7" w:space="0" w:color="000000"/>
              <w:left w:val="single" w:sz="4" w:space="0" w:color="000000"/>
              <w:bottom w:val="single" w:sz="6" w:space="0" w:color="000000"/>
              <w:right w:val="single" w:sz="4" w:space="0" w:color="000000"/>
            </w:tcBorders>
          </w:tcPr>
          <w:p w14:paraId="1CAF32B0" w14:textId="77777777" w:rsidR="00FD71D5" w:rsidRPr="009520F7" w:rsidRDefault="00FD71D5" w:rsidP="009520F7">
            <w:pPr>
              <w:kinsoku w:val="0"/>
              <w:overflowPunct w:val="0"/>
              <w:autoSpaceDE w:val="0"/>
              <w:autoSpaceDN w:val="0"/>
              <w:adjustRightInd w:val="0"/>
              <w:spacing w:before="17" w:line="264" w:lineRule="exact"/>
              <w:ind w:left="5"/>
              <w:rPr>
                <w:rFonts w:cs="Times New Roman"/>
                <w:szCs w:val="24"/>
              </w:rPr>
            </w:pPr>
            <w:r w:rsidRPr="009520F7">
              <w:rPr>
                <w:rFonts w:cs="Times New Roman"/>
                <w:b/>
                <w:bCs/>
                <w:w w:val="80"/>
                <w:szCs w:val="24"/>
              </w:rPr>
              <w:t>$</w:t>
            </w:r>
          </w:p>
        </w:tc>
        <w:tc>
          <w:tcPr>
            <w:tcW w:w="1332" w:type="dxa"/>
            <w:gridSpan w:val="2"/>
            <w:tcBorders>
              <w:top w:val="single" w:sz="7" w:space="0" w:color="000000"/>
              <w:left w:val="single" w:sz="4" w:space="0" w:color="000000"/>
              <w:bottom w:val="single" w:sz="6" w:space="0" w:color="000000"/>
              <w:right w:val="single" w:sz="4" w:space="0" w:color="000000"/>
            </w:tcBorders>
          </w:tcPr>
          <w:p w14:paraId="08384163" w14:textId="77777777" w:rsidR="00FD71D5" w:rsidRPr="009520F7" w:rsidRDefault="00FD71D5" w:rsidP="009520F7">
            <w:pPr>
              <w:kinsoku w:val="0"/>
              <w:overflowPunct w:val="0"/>
              <w:autoSpaceDE w:val="0"/>
              <w:autoSpaceDN w:val="0"/>
              <w:adjustRightInd w:val="0"/>
              <w:spacing w:before="17" w:line="264" w:lineRule="exact"/>
              <w:ind w:left="422"/>
              <w:rPr>
                <w:rFonts w:cs="Times New Roman"/>
                <w:szCs w:val="24"/>
              </w:rPr>
            </w:pPr>
            <w:r w:rsidRPr="009520F7">
              <w:rPr>
                <w:rFonts w:cs="Times New Roman"/>
                <w:b/>
                <w:bCs/>
                <w:spacing w:val="-3"/>
                <w:w w:val="80"/>
                <w:szCs w:val="24"/>
              </w:rPr>
              <w:t>$/kWh</w:t>
            </w:r>
          </w:p>
        </w:tc>
        <w:tc>
          <w:tcPr>
            <w:tcW w:w="810" w:type="dxa"/>
            <w:tcBorders>
              <w:top w:val="single" w:sz="7" w:space="0" w:color="000000"/>
              <w:left w:val="single" w:sz="4" w:space="0" w:color="000000"/>
              <w:bottom w:val="single" w:sz="6" w:space="0" w:color="000000"/>
              <w:right w:val="single" w:sz="5" w:space="0" w:color="000000"/>
            </w:tcBorders>
          </w:tcPr>
          <w:p w14:paraId="71313653" w14:textId="77777777" w:rsidR="00FD71D5" w:rsidRPr="009520F7" w:rsidRDefault="00FD71D5" w:rsidP="009520F7">
            <w:pPr>
              <w:kinsoku w:val="0"/>
              <w:overflowPunct w:val="0"/>
              <w:autoSpaceDE w:val="0"/>
              <w:autoSpaceDN w:val="0"/>
              <w:adjustRightInd w:val="0"/>
              <w:spacing w:before="17" w:line="264" w:lineRule="exact"/>
              <w:ind w:left="1"/>
              <w:rPr>
                <w:rFonts w:cs="Times New Roman"/>
                <w:szCs w:val="24"/>
              </w:rPr>
            </w:pPr>
            <w:r w:rsidRPr="009520F7">
              <w:rPr>
                <w:rFonts w:cs="Times New Roman"/>
                <w:b/>
                <w:bCs/>
                <w:w w:val="80"/>
                <w:szCs w:val="24"/>
              </w:rPr>
              <w:t>kWh</w:t>
            </w:r>
          </w:p>
        </w:tc>
        <w:tc>
          <w:tcPr>
            <w:tcW w:w="1440" w:type="dxa"/>
            <w:gridSpan w:val="3"/>
            <w:tcBorders>
              <w:top w:val="single" w:sz="7" w:space="0" w:color="000000"/>
              <w:left w:val="single" w:sz="5" w:space="0" w:color="000000"/>
              <w:bottom w:val="single" w:sz="6" w:space="0" w:color="000000"/>
              <w:right w:val="single" w:sz="4" w:space="0" w:color="000000"/>
            </w:tcBorders>
          </w:tcPr>
          <w:p w14:paraId="07FDF34F" w14:textId="77777777" w:rsidR="00FD71D5" w:rsidRPr="009520F7" w:rsidRDefault="00FD71D5" w:rsidP="009520F7">
            <w:pPr>
              <w:kinsoku w:val="0"/>
              <w:overflowPunct w:val="0"/>
              <w:autoSpaceDE w:val="0"/>
              <w:autoSpaceDN w:val="0"/>
              <w:adjustRightInd w:val="0"/>
              <w:spacing w:before="17" w:line="264" w:lineRule="exact"/>
              <w:ind w:left="6"/>
              <w:rPr>
                <w:rFonts w:cs="Times New Roman"/>
                <w:szCs w:val="24"/>
              </w:rPr>
            </w:pPr>
            <w:r w:rsidRPr="009520F7">
              <w:rPr>
                <w:rFonts w:cs="Times New Roman"/>
                <w:b/>
                <w:bCs/>
                <w:w w:val="80"/>
                <w:szCs w:val="24"/>
              </w:rPr>
              <w:t>$</w:t>
            </w:r>
          </w:p>
        </w:tc>
      </w:tr>
      <w:tr w:rsidR="00FD71D5" w:rsidRPr="009520F7" w14:paraId="1218B511" w14:textId="77777777" w:rsidTr="00120477">
        <w:trPr>
          <w:trHeight w:hRule="exact" w:val="630"/>
        </w:trPr>
        <w:tc>
          <w:tcPr>
            <w:tcW w:w="2244" w:type="dxa"/>
            <w:tcBorders>
              <w:top w:val="single" w:sz="6" w:space="0" w:color="000000"/>
              <w:left w:val="single" w:sz="4" w:space="0" w:color="000000"/>
              <w:bottom w:val="single" w:sz="6" w:space="0" w:color="000000"/>
              <w:right w:val="single" w:sz="4" w:space="0" w:color="000000"/>
            </w:tcBorders>
          </w:tcPr>
          <w:p w14:paraId="28866E89" w14:textId="77777777" w:rsidR="00FD71D5" w:rsidRPr="009520F7" w:rsidRDefault="00FD71D5" w:rsidP="009520F7">
            <w:pPr>
              <w:kinsoku w:val="0"/>
              <w:overflowPunct w:val="0"/>
              <w:autoSpaceDE w:val="0"/>
              <w:autoSpaceDN w:val="0"/>
              <w:adjustRightInd w:val="0"/>
              <w:spacing w:before="18" w:line="264" w:lineRule="exact"/>
              <w:ind w:left="19"/>
              <w:rPr>
                <w:rFonts w:cs="Times New Roman"/>
                <w:szCs w:val="24"/>
                <w:lang w:val="es-ES"/>
              </w:rPr>
            </w:pPr>
            <w:r w:rsidRPr="009520F7">
              <w:rPr>
                <w:rFonts w:cs="Times New Roman"/>
                <w:b/>
                <w:bCs/>
                <w:spacing w:val="-2"/>
                <w:w w:val="70"/>
                <w:szCs w:val="24"/>
                <w:lang w:val="es-ES"/>
              </w:rPr>
              <w:t>Buena</w:t>
            </w:r>
            <w:r w:rsidRPr="009520F7">
              <w:rPr>
                <w:rFonts w:cs="Times New Roman"/>
                <w:b/>
                <w:bCs/>
                <w:spacing w:val="-18"/>
                <w:w w:val="70"/>
                <w:szCs w:val="24"/>
                <w:lang w:val="es-ES"/>
              </w:rPr>
              <w:t xml:space="preserve"> </w:t>
            </w:r>
            <w:r w:rsidRPr="009520F7">
              <w:rPr>
                <w:rFonts w:cs="Times New Roman"/>
                <w:b/>
                <w:bCs/>
                <w:w w:val="70"/>
                <w:szCs w:val="24"/>
                <w:lang w:val="es-ES"/>
              </w:rPr>
              <w:t>Vista</w:t>
            </w:r>
            <w:r w:rsidRPr="009520F7">
              <w:rPr>
                <w:rFonts w:cs="Times New Roman"/>
                <w:b/>
                <w:bCs/>
                <w:spacing w:val="-17"/>
                <w:w w:val="70"/>
                <w:szCs w:val="24"/>
                <w:lang w:val="es-ES"/>
              </w:rPr>
              <w:t xml:space="preserve"> </w:t>
            </w:r>
            <w:r w:rsidRPr="009520F7">
              <w:rPr>
                <w:rFonts w:cs="Times New Roman"/>
                <w:b/>
                <w:bCs/>
                <w:spacing w:val="-2"/>
                <w:w w:val="70"/>
                <w:szCs w:val="24"/>
                <w:lang w:val="es-ES"/>
              </w:rPr>
              <w:t>Energy</w:t>
            </w:r>
            <w:r w:rsidRPr="009520F7">
              <w:rPr>
                <w:rFonts w:cs="Times New Roman"/>
                <w:b/>
                <w:bCs/>
                <w:spacing w:val="-15"/>
                <w:w w:val="70"/>
                <w:szCs w:val="24"/>
                <w:lang w:val="es-ES"/>
              </w:rPr>
              <w:t xml:space="preserve"> </w:t>
            </w:r>
            <w:r w:rsidRPr="009520F7">
              <w:rPr>
                <w:rFonts w:cs="Times New Roman"/>
                <w:b/>
                <w:bCs/>
                <w:w w:val="70"/>
                <w:szCs w:val="24"/>
                <w:lang w:val="es-ES"/>
              </w:rPr>
              <w:t>Center</w:t>
            </w:r>
            <w:r w:rsidRPr="009520F7">
              <w:rPr>
                <w:rFonts w:cs="Times New Roman"/>
                <w:b/>
                <w:bCs/>
                <w:spacing w:val="-18"/>
                <w:w w:val="70"/>
                <w:szCs w:val="24"/>
                <w:lang w:val="es-ES"/>
              </w:rPr>
              <w:t xml:space="preserve"> </w:t>
            </w:r>
            <w:r w:rsidRPr="009520F7">
              <w:rPr>
                <w:rFonts w:cs="Times New Roman"/>
                <w:b/>
                <w:bCs/>
                <w:w w:val="70"/>
                <w:szCs w:val="24"/>
                <w:lang w:val="es-ES"/>
              </w:rPr>
              <w:t>1</w:t>
            </w:r>
            <w:r w:rsidRPr="009520F7">
              <w:rPr>
                <w:rFonts w:cs="Times New Roman"/>
                <w:b/>
                <w:bCs/>
                <w:spacing w:val="-19"/>
                <w:w w:val="70"/>
                <w:szCs w:val="24"/>
                <w:lang w:val="es-ES"/>
              </w:rPr>
              <w:t xml:space="preserve"> </w:t>
            </w:r>
            <w:r w:rsidRPr="009520F7">
              <w:rPr>
                <w:rFonts w:cs="Times New Roman"/>
                <w:b/>
                <w:bCs/>
                <w:spacing w:val="-3"/>
                <w:w w:val="70"/>
                <w:szCs w:val="24"/>
                <w:lang w:val="es-ES"/>
              </w:rPr>
              <w:t>(BV1)</w:t>
            </w:r>
          </w:p>
        </w:tc>
        <w:tc>
          <w:tcPr>
            <w:tcW w:w="736" w:type="dxa"/>
            <w:tcBorders>
              <w:top w:val="single" w:sz="6" w:space="0" w:color="000000"/>
              <w:left w:val="single" w:sz="4" w:space="0" w:color="000000"/>
              <w:bottom w:val="single" w:sz="6" w:space="0" w:color="000000"/>
              <w:right w:val="single" w:sz="4" w:space="0" w:color="000000"/>
            </w:tcBorders>
          </w:tcPr>
          <w:p w14:paraId="484B55F6" w14:textId="77777777" w:rsidR="00FD71D5" w:rsidRPr="009520F7" w:rsidRDefault="00FD71D5" w:rsidP="009520F7">
            <w:pPr>
              <w:kinsoku w:val="0"/>
              <w:overflowPunct w:val="0"/>
              <w:autoSpaceDE w:val="0"/>
              <w:autoSpaceDN w:val="0"/>
              <w:adjustRightInd w:val="0"/>
              <w:spacing w:before="18" w:line="264" w:lineRule="exact"/>
              <w:ind w:left="79"/>
              <w:rPr>
                <w:rFonts w:cs="Times New Roman"/>
                <w:szCs w:val="24"/>
              </w:rPr>
            </w:pPr>
            <w:r w:rsidRPr="009520F7">
              <w:rPr>
                <w:rFonts w:cs="Times New Roman"/>
                <w:w w:val="80"/>
                <w:szCs w:val="24"/>
              </w:rPr>
              <w:t xml:space="preserve">$ </w:t>
            </w:r>
            <w:r w:rsidRPr="009520F7">
              <w:rPr>
                <w:rFonts w:cs="Times New Roman"/>
                <w:spacing w:val="26"/>
                <w:w w:val="80"/>
                <w:szCs w:val="24"/>
              </w:rPr>
              <w:t xml:space="preserve"> </w:t>
            </w:r>
            <w:r w:rsidRPr="009520F7">
              <w:rPr>
                <w:rFonts w:cs="Times New Roman"/>
                <w:spacing w:val="-5"/>
                <w:w w:val="80"/>
                <w:szCs w:val="24"/>
              </w:rPr>
              <w:t>20.99</w:t>
            </w:r>
          </w:p>
        </w:tc>
        <w:tc>
          <w:tcPr>
            <w:tcW w:w="1425" w:type="dxa"/>
            <w:tcBorders>
              <w:top w:val="single" w:sz="6" w:space="0" w:color="000000"/>
              <w:left w:val="single" w:sz="4" w:space="0" w:color="000000"/>
              <w:bottom w:val="single" w:sz="6" w:space="0" w:color="000000"/>
              <w:right w:val="single" w:sz="4" w:space="0" w:color="000000"/>
            </w:tcBorders>
          </w:tcPr>
          <w:p w14:paraId="0D2D9031" w14:textId="77777777" w:rsidR="00FD71D5" w:rsidRPr="009520F7" w:rsidRDefault="00FD71D5" w:rsidP="009520F7">
            <w:pPr>
              <w:kinsoku w:val="0"/>
              <w:overflowPunct w:val="0"/>
              <w:autoSpaceDE w:val="0"/>
              <w:autoSpaceDN w:val="0"/>
              <w:adjustRightInd w:val="0"/>
              <w:spacing w:before="18" w:line="264" w:lineRule="exact"/>
              <w:ind w:left="694"/>
              <w:rPr>
                <w:rFonts w:cs="Times New Roman"/>
                <w:szCs w:val="24"/>
              </w:rPr>
            </w:pPr>
            <w:r w:rsidRPr="009520F7">
              <w:rPr>
                <w:rFonts w:cs="Times New Roman"/>
                <w:spacing w:val="-5"/>
                <w:w w:val="75"/>
                <w:szCs w:val="24"/>
              </w:rPr>
              <w:t>68,286</w:t>
            </w:r>
          </w:p>
        </w:tc>
        <w:tc>
          <w:tcPr>
            <w:tcW w:w="241" w:type="dxa"/>
            <w:tcBorders>
              <w:top w:val="single" w:sz="6" w:space="0" w:color="000000"/>
              <w:left w:val="single" w:sz="4" w:space="0" w:color="000000"/>
              <w:bottom w:val="single" w:sz="6" w:space="0" w:color="000000"/>
              <w:right w:val="nil"/>
            </w:tcBorders>
          </w:tcPr>
          <w:p w14:paraId="280168C4" w14:textId="77777777" w:rsidR="00FD71D5" w:rsidRPr="009520F7" w:rsidRDefault="00FD71D5" w:rsidP="009520F7">
            <w:pPr>
              <w:kinsoku w:val="0"/>
              <w:overflowPunct w:val="0"/>
              <w:autoSpaceDE w:val="0"/>
              <w:autoSpaceDN w:val="0"/>
              <w:adjustRightInd w:val="0"/>
              <w:spacing w:before="18" w:line="264" w:lineRule="exact"/>
              <w:ind w:left="69"/>
              <w:rPr>
                <w:rFonts w:cs="Times New Roman"/>
                <w:szCs w:val="24"/>
              </w:rPr>
            </w:pPr>
            <w:r w:rsidRPr="009520F7">
              <w:rPr>
                <w:rFonts w:cs="Times New Roman"/>
                <w:w w:val="80"/>
                <w:szCs w:val="24"/>
              </w:rPr>
              <w:t>$</w:t>
            </w:r>
          </w:p>
        </w:tc>
        <w:tc>
          <w:tcPr>
            <w:tcW w:w="1019" w:type="dxa"/>
            <w:tcBorders>
              <w:top w:val="single" w:sz="6" w:space="0" w:color="000000"/>
              <w:left w:val="nil"/>
              <w:bottom w:val="single" w:sz="6" w:space="0" w:color="000000"/>
              <w:right w:val="single" w:sz="4" w:space="0" w:color="000000"/>
            </w:tcBorders>
          </w:tcPr>
          <w:p w14:paraId="591CED2F" w14:textId="77777777" w:rsidR="00FD71D5" w:rsidRPr="009520F7" w:rsidRDefault="00FD71D5" w:rsidP="009520F7">
            <w:pPr>
              <w:kinsoku w:val="0"/>
              <w:overflowPunct w:val="0"/>
              <w:autoSpaceDE w:val="0"/>
              <w:autoSpaceDN w:val="0"/>
              <w:adjustRightInd w:val="0"/>
              <w:spacing w:before="18" w:line="264" w:lineRule="exact"/>
              <w:ind w:left="572"/>
              <w:rPr>
                <w:rFonts w:cs="Times New Roman"/>
                <w:szCs w:val="24"/>
              </w:rPr>
            </w:pPr>
            <w:r w:rsidRPr="009520F7">
              <w:rPr>
                <w:rFonts w:cs="Times New Roman"/>
                <w:spacing w:val="-4"/>
                <w:w w:val="80"/>
                <w:szCs w:val="24"/>
              </w:rPr>
              <w:t>3.50</w:t>
            </w:r>
          </w:p>
        </w:tc>
        <w:tc>
          <w:tcPr>
            <w:tcW w:w="225" w:type="dxa"/>
            <w:tcBorders>
              <w:top w:val="single" w:sz="6" w:space="0" w:color="000000"/>
              <w:left w:val="single" w:sz="4" w:space="0" w:color="000000"/>
              <w:bottom w:val="single" w:sz="6" w:space="0" w:color="000000"/>
              <w:right w:val="nil"/>
            </w:tcBorders>
          </w:tcPr>
          <w:p w14:paraId="45C416F0" w14:textId="77777777" w:rsidR="00FD71D5" w:rsidRPr="009520F7" w:rsidRDefault="00FD71D5" w:rsidP="009520F7">
            <w:pPr>
              <w:kinsoku w:val="0"/>
              <w:overflowPunct w:val="0"/>
              <w:autoSpaceDE w:val="0"/>
              <w:autoSpaceDN w:val="0"/>
              <w:adjustRightInd w:val="0"/>
              <w:spacing w:before="18" w:line="264" w:lineRule="exact"/>
              <w:ind w:left="79"/>
              <w:rPr>
                <w:rFonts w:cs="Times New Roman"/>
                <w:szCs w:val="24"/>
              </w:rPr>
            </w:pPr>
            <w:r w:rsidRPr="009520F7">
              <w:rPr>
                <w:rFonts w:cs="Times New Roman"/>
                <w:w w:val="80"/>
                <w:szCs w:val="24"/>
              </w:rPr>
              <w:t>$</w:t>
            </w:r>
          </w:p>
        </w:tc>
        <w:tc>
          <w:tcPr>
            <w:tcW w:w="783" w:type="dxa"/>
            <w:tcBorders>
              <w:top w:val="single" w:sz="6" w:space="0" w:color="000000"/>
              <w:left w:val="nil"/>
              <w:bottom w:val="single" w:sz="6" w:space="0" w:color="000000"/>
              <w:right w:val="single" w:sz="4" w:space="0" w:color="000000"/>
            </w:tcBorders>
          </w:tcPr>
          <w:p w14:paraId="0EB0E07D" w14:textId="77777777" w:rsidR="00FD71D5" w:rsidRPr="009520F7" w:rsidRDefault="00FD71D5" w:rsidP="009520F7">
            <w:pPr>
              <w:kinsoku w:val="0"/>
              <w:overflowPunct w:val="0"/>
              <w:autoSpaceDE w:val="0"/>
              <w:autoSpaceDN w:val="0"/>
              <w:adjustRightInd w:val="0"/>
              <w:spacing w:before="18" w:line="264" w:lineRule="exact"/>
              <w:ind w:left="62"/>
              <w:rPr>
                <w:rFonts w:cs="Times New Roman"/>
                <w:szCs w:val="24"/>
              </w:rPr>
            </w:pPr>
            <w:r w:rsidRPr="009520F7">
              <w:rPr>
                <w:rFonts w:cs="Times New Roman"/>
                <w:spacing w:val="-6"/>
                <w:w w:val="70"/>
                <w:szCs w:val="24"/>
              </w:rPr>
              <w:t>239,002.59</w:t>
            </w:r>
          </w:p>
        </w:tc>
        <w:tc>
          <w:tcPr>
            <w:tcW w:w="297" w:type="dxa"/>
            <w:tcBorders>
              <w:top w:val="single" w:sz="6" w:space="0" w:color="000000"/>
              <w:left w:val="single" w:sz="4" w:space="0" w:color="000000"/>
              <w:bottom w:val="single" w:sz="6" w:space="0" w:color="000000"/>
              <w:right w:val="nil"/>
            </w:tcBorders>
          </w:tcPr>
          <w:p w14:paraId="32A0D315" w14:textId="77777777" w:rsidR="00FD71D5" w:rsidRPr="009520F7" w:rsidRDefault="00FD71D5" w:rsidP="009520F7">
            <w:pPr>
              <w:kinsoku w:val="0"/>
              <w:overflowPunct w:val="0"/>
              <w:autoSpaceDE w:val="0"/>
              <w:autoSpaceDN w:val="0"/>
              <w:adjustRightInd w:val="0"/>
              <w:spacing w:before="18" w:line="264" w:lineRule="exact"/>
              <w:ind w:left="80"/>
              <w:rPr>
                <w:rFonts w:cs="Times New Roman"/>
                <w:szCs w:val="24"/>
              </w:rPr>
            </w:pPr>
            <w:r w:rsidRPr="009520F7">
              <w:rPr>
                <w:rFonts w:cs="Times New Roman"/>
                <w:w w:val="80"/>
                <w:szCs w:val="24"/>
              </w:rPr>
              <w:t>$</w:t>
            </w:r>
          </w:p>
        </w:tc>
        <w:tc>
          <w:tcPr>
            <w:tcW w:w="1035" w:type="dxa"/>
            <w:tcBorders>
              <w:top w:val="single" w:sz="6" w:space="0" w:color="000000"/>
              <w:left w:val="nil"/>
              <w:bottom w:val="single" w:sz="6" w:space="0" w:color="000000"/>
              <w:right w:val="single" w:sz="4" w:space="0" w:color="000000"/>
            </w:tcBorders>
          </w:tcPr>
          <w:p w14:paraId="5ECEA4E5" w14:textId="77777777" w:rsidR="00FD71D5" w:rsidRPr="009520F7" w:rsidRDefault="00FD71D5" w:rsidP="009520F7">
            <w:pPr>
              <w:kinsoku w:val="0"/>
              <w:overflowPunct w:val="0"/>
              <w:autoSpaceDE w:val="0"/>
              <w:autoSpaceDN w:val="0"/>
              <w:adjustRightInd w:val="0"/>
              <w:spacing w:before="18" w:line="264" w:lineRule="exact"/>
              <w:ind w:left="294"/>
              <w:rPr>
                <w:rFonts w:cs="Times New Roman"/>
                <w:szCs w:val="24"/>
              </w:rPr>
            </w:pPr>
            <w:r w:rsidRPr="009520F7">
              <w:rPr>
                <w:rFonts w:cs="Times New Roman"/>
                <w:spacing w:val="-7"/>
                <w:w w:val="70"/>
                <w:szCs w:val="24"/>
              </w:rPr>
              <w:t>0.0001364</w:t>
            </w:r>
          </w:p>
        </w:tc>
        <w:tc>
          <w:tcPr>
            <w:tcW w:w="810" w:type="dxa"/>
            <w:tcBorders>
              <w:top w:val="single" w:sz="6" w:space="0" w:color="000000"/>
              <w:left w:val="single" w:sz="4" w:space="0" w:color="000000"/>
              <w:bottom w:val="single" w:sz="6" w:space="0" w:color="000000"/>
              <w:right w:val="single" w:sz="5" w:space="0" w:color="000000"/>
            </w:tcBorders>
          </w:tcPr>
          <w:p w14:paraId="3898BDFB" w14:textId="77777777" w:rsidR="00FD71D5" w:rsidRPr="009520F7" w:rsidRDefault="00FD71D5" w:rsidP="009520F7">
            <w:pPr>
              <w:kinsoku w:val="0"/>
              <w:overflowPunct w:val="0"/>
              <w:autoSpaceDE w:val="0"/>
              <w:autoSpaceDN w:val="0"/>
              <w:adjustRightInd w:val="0"/>
              <w:spacing w:before="18" w:line="264" w:lineRule="exact"/>
              <w:ind w:right="61"/>
              <w:rPr>
                <w:rFonts w:cs="Times New Roman"/>
                <w:szCs w:val="24"/>
              </w:rPr>
            </w:pPr>
            <w:r w:rsidRPr="009520F7">
              <w:rPr>
                <w:rFonts w:cs="Times New Roman"/>
                <w:spacing w:val="-5"/>
                <w:w w:val="65"/>
                <w:szCs w:val="24"/>
              </w:rPr>
              <w:t>675</w:t>
            </w:r>
          </w:p>
        </w:tc>
        <w:tc>
          <w:tcPr>
            <w:tcW w:w="392" w:type="dxa"/>
            <w:tcBorders>
              <w:top w:val="single" w:sz="6" w:space="0" w:color="000000"/>
              <w:left w:val="single" w:sz="5" w:space="0" w:color="000000"/>
              <w:bottom w:val="single" w:sz="6" w:space="0" w:color="000000"/>
              <w:right w:val="nil"/>
            </w:tcBorders>
          </w:tcPr>
          <w:p w14:paraId="56BD2963" w14:textId="77777777" w:rsidR="00FD71D5" w:rsidRPr="009520F7" w:rsidRDefault="00FD71D5" w:rsidP="009520F7">
            <w:pPr>
              <w:kinsoku w:val="0"/>
              <w:overflowPunct w:val="0"/>
              <w:autoSpaceDE w:val="0"/>
              <w:autoSpaceDN w:val="0"/>
              <w:adjustRightInd w:val="0"/>
              <w:spacing w:before="18" w:line="264" w:lineRule="exact"/>
              <w:ind w:left="79"/>
              <w:rPr>
                <w:rFonts w:cs="Times New Roman"/>
                <w:szCs w:val="24"/>
              </w:rPr>
            </w:pPr>
            <w:r w:rsidRPr="009520F7">
              <w:rPr>
                <w:rFonts w:cs="Times New Roman"/>
                <w:w w:val="80"/>
                <w:szCs w:val="24"/>
              </w:rPr>
              <w:t>$</w:t>
            </w:r>
          </w:p>
        </w:tc>
        <w:tc>
          <w:tcPr>
            <w:tcW w:w="452" w:type="dxa"/>
            <w:tcBorders>
              <w:top w:val="single" w:sz="6" w:space="0" w:color="000000"/>
              <w:left w:val="nil"/>
              <w:bottom w:val="single" w:sz="6" w:space="0" w:color="000000"/>
              <w:right w:val="nil"/>
            </w:tcBorders>
          </w:tcPr>
          <w:p w14:paraId="31E9A7B0" w14:textId="77777777" w:rsidR="00FD71D5" w:rsidRPr="009520F7" w:rsidRDefault="00FD71D5" w:rsidP="009520F7">
            <w:pPr>
              <w:autoSpaceDE w:val="0"/>
              <w:autoSpaceDN w:val="0"/>
              <w:adjustRightInd w:val="0"/>
              <w:rPr>
                <w:rFonts w:cs="Times New Roman"/>
                <w:szCs w:val="24"/>
              </w:rPr>
            </w:pPr>
          </w:p>
        </w:tc>
        <w:tc>
          <w:tcPr>
            <w:tcW w:w="596" w:type="dxa"/>
            <w:tcBorders>
              <w:top w:val="single" w:sz="6" w:space="0" w:color="000000"/>
              <w:left w:val="nil"/>
              <w:bottom w:val="single" w:sz="6" w:space="0" w:color="000000"/>
              <w:right w:val="single" w:sz="4" w:space="0" w:color="000000"/>
            </w:tcBorders>
          </w:tcPr>
          <w:p w14:paraId="6BD2D3EA" w14:textId="77777777" w:rsidR="00FD71D5" w:rsidRPr="009520F7" w:rsidRDefault="00FD71D5" w:rsidP="009520F7">
            <w:pPr>
              <w:kinsoku w:val="0"/>
              <w:overflowPunct w:val="0"/>
              <w:autoSpaceDE w:val="0"/>
              <w:autoSpaceDN w:val="0"/>
              <w:adjustRightInd w:val="0"/>
              <w:spacing w:before="18" w:line="264" w:lineRule="exact"/>
              <w:ind w:left="143"/>
              <w:rPr>
                <w:rFonts w:cs="Times New Roman"/>
                <w:szCs w:val="24"/>
              </w:rPr>
            </w:pPr>
            <w:r w:rsidRPr="009520F7">
              <w:rPr>
                <w:rFonts w:cs="Times New Roman"/>
                <w:spacing w:val="-4"/>
                <w:w w:val="80"/>
                <w:szCs w:val="24"/>
              </w:rPr>
              <w:t>0.09</w:t>
            </w:r>
          </w:p>
        </w:tc>
      </w:tr>
      <w:tr w:rsidR="00FD71D5" w:rsidRPr="009520F7" w14:paraId="1B50FDEB" w14:textId="77777777" w:rsidTr="00120477">
        <w:trPr>
          <w:trHeight w:hRule="exact" w:val="711"/>
        </w:trPr>
        <w:tc>
          <w:tcPr>
            <w:tcW w:w="2244" w:type="dxa"/>
            <w:tcBorders>
              <w:top w:val="single" w:sz="6" w:space="0" w:color="000000"/>
              <w:left w:val="single" w:sz="4" w:space="0" w:color="000000"/>
              <w:bottom w:val="single" w:sz="7" w:space="0" w:color="000000"/>
              <w:right w:val="single" w:sz="4" w:space="0" w:color="000000"/>
            </w:tcBorders>
          </w:tcPr>
          <w:p w14:paraId="58E706CB" w14:textId="77777777" w:rsidR="00FD71D5" w:rsidRPr="009520F7" w:rsidRDefault="00FD71D5" w:rsidP="009520F7">
            <w:pPr>
              <w:kinsoku w:val="0"/>
              <w:overflowPunct w:val="0"/>
              <w:autoSpaceDE w:val="0"/>
              <w:autoSpaceDN w:val="0"/>
              <w:adjustRightInd w:val="0"/>
              <w:spacing w:before="18" w:line="264" w:lineRule="exact"/>
              <w:ind w:left="19"/>
              <w:rPr>
                <w:rFonts w:cs="Times New Roman"/>
                <w:szCs w:val="24"/>
                <w:lang w:val="es-ES"/>
              </w:rPr>
            </w:pPr>
            <w:r w:rsidRPr="009520F7">
              <w:rPr>
                <w:rFonts w:cs="Times New Roman"/>
                <w:b/>
                <w:bCs/>
                <w:spacing w:val="-2"/>
                <w:w w:val="70"/>
                <w:szCs w:val="24"/>
                <w:lang w:val="es-ES"/>
              </w:rPr>
              <w:t>Buena</w:t>
            </w:r>
            <w:r w:rsidRPr="009520F7">
              <w:rPr>
                <w:rFonts w:cs="Times New Roman"/>
                <w:b/>
                <w:bCs/>
                <w:spacing w:val="-18"/>
                <w:w w:val="70"/>
                <w:szCs w:val="24"/>
                <w:lang w:val="es-ES"/>
              </w:rPr>
              <w:t xml:space="preserve"> </w:t>
            </w:r>
            <w:r w:rsidRPr="009520F7">
              <w:rPr>
                <w:rFonts w:cs="Times New Roman"/>
                <w:b/>
                <w:bCs/>
                <w:w w:val="70"/>
                <w:szCs w:val="24"/>
                <w:lang w:val="es-ES"/>
              </w:rPr>
              <w:t>Vista</w:t>
            </w:r>
            <w:r w:rsidRPr="009520F7">
              <w:rPr>
                <w:rFonts w:cs="Times New Roman"/>
                <w:b/>
                <w:bCs/>
                <w:spacing w:val="-17"/>
                <w:w w:val="70"/>
                <w:szCs w:val="24"/>
                <w:lang w:val="es-ES"/>
              </w:rPr>
              <w:t xml:space="preserve"> </w:t>
            </w:r>
            <w:r w:rsidRPr="009520F7">
              <w:rPr>
                <w:rFonts w:cs="Times New Roman"/>
                <w:b/>
                <w:bCs/>
                <w:spacing w:val="-2"/>
                <w:w w:val="70"/>
                <w:szCs w:val="24"/>
                <w:lang w:val="es-ES"/>
              </w:rPr>
              <w:t>Energy</w:t>
            </w:r>
            <w:r w:rsidRPr="009520F7">
              <w:rPr>
                <w:rFonts w:cs="Times New Roman"/>
                <w:b/>
                <w:bCs/>
                <w:spacing w:val="-15"/>
                <w:w w:val="70"/>
                <w:szCs w:val="24"/>
                <w:lang w:val="es-ES"/>
              </w:rPr>
              <w:t xml:space="preserve"> </w:t>
            </w:r>
            <w:r w:rsidRPr="009520F7">
              <w:rPr>
                <w:rFonts w:cs="Times New Roman"/>
                <w:b/>
                <w:bCs/>
                <w:w w:val="70"/>
                <w:szCs w:val="24"/>
                <w:lang w:val="es-ES"/>
              </w:rPr>
              <w:t>Center</w:t>
            </w:r>
            <w:r w:rsidRPr="009520F7">
              <w:rPr>
                <w:rFonts w:cs="Times New Roman"/>
                <w:b/>
                <w:bCs/>
                <w:spacing w:val="-18"/>
                <w:w w:val="70"/>
                <w:szCs w:val="24"/>
                <w:lang w:val="es-ES"/>
              </w:rPr>
              <w:t xml:space="preserve"> </w:t>
            </w:r>
            <w:r w:rsidRPr="009520F7">
              <w:rPr>
                <w:rFonts w:cs="Times New Roman"/>
                <w:b/>
                <w:bCs/>
                <w:w w:val="70"/>
                <w:szCs w:val="24"/>
                <w:lang w:val="es-ES"/>
              </w:rPr>
              <w:t>2</w:t>
            </w:r>
            <w:r w:rsidRPr="009520F7">
              <w:rPr>
                <w:rFonts w:cs="Times New Roman"/>
                <w:b/>
                <w:bCs/>
                <w:spacing w:val="-19"/>
                <w:w w:val="70"/>
                <w:szCs w:val="24"/>
                <w:lang w:val="es-ES"/>
              </w:rPr>
              <w:t xml:space="preserve"> </w:t>
            </w:r>
            <w:r w:rsidRPr="009520F7">
              <w:rPr>
                <w:rFonts w:cs="Times New Roman"/>
                <w:b/>
                <w:bCs/>
                <w:spacing w:val="-3"/>
                <w:w w:val="70"/>
                <w:szCs w:val="24"/>
                <w:lang w:val="es-ES"/>
              </w:rPr>
              <w:t>(BV2)</w:t>
            </w:r>
          </w:p>
        </w:tc>
        <w:tc>
          <w:tcPr>
            <w:tcW w:w="736" w:type="dxa"/>
            <w:tcBorders>
              <w:top w:val="single" w:sz="6" w:space="0" w:color="000000"/>
              <w:left w:val="single" w:sz="4" w:space="0" w:color="000000"/>
              <w:bottom w:val="single" w:sz="7" w:space="0" w:color="000000"/>
              <w:right w:val="single" w:sz="4" w:space="0" w:color="000000"/>
            </w:tcBorders>
          </w:tcPr>
          <w:p w14:paraId="31FC8DBC" w14:textId="77777777" w:rsidR="00FD71D5" w:rsidRPr="009520F7" w:rsidRDefault="00FD71D5" w:rsidP="009520F7">
            <w:pPr>
              <w:kinsoku w:val="0"/>
              <w:overflowPunct w:val="0"/>
              <w:autoSpaceDE w:val="0"/>
              <w:autoSpaceDN w:val="0"/>
              <w:adjustRightInd w:val="0"/>
              <w:spacing w:before="18" w:line="264" w:lineRule="exact"/>
              <w:ind w:left="79"/>
              <w:rPr>
                <w:rFonts w:cs="Times New Roman"/>
                <w:szCs w:val="24"/>
              </w:rPr>
            </w:pPr>
            <w:r w:rsidRPr="009520F7">
              <w:rPr>
                <w:rFonts w:cs="Times New Roman"/>
                <w:w w:val="80"/>
                <w:szCs w:val="24"/>
              </w:rPr>
              <w:t xml:space="preserve">$ </w:t>
            </w:r>
            <w:r w:rsidRPr="009520F7">
              <w:rPr>
                <w:rFonts w:cs="Times New Roman"/>
                <w:spacing w:val="26"/>
                <w:w w:val="80"/>
                <w:szCs w:val="24"/>
              </w:rPr>
              <w:t xml:space="preserve"> </w:t>
            </w:r>
            <w:r w:rsidRPr="009520F7">
              <w:rPr>
                <w:rFonts w:cs="Times New Roman"/>
                <w:spacing w:val="-5"/>
                <w:w w:val="80"/>
                <w:szCs w:val="24"/>
              </w:rPr>
              <w:t>19.88</w:t>
            </w:r>
          </w:p>
        </w:tc>
        <w:tc>
          <w:tcPr>
            <w:tcW w:w="1425" w:type="dxa"/>
            <w:tcBorders>
              <w:top w:val="single" w:sz="6" w:space="0" w:color="000000"/>
              <w:left w:val="single" w:sz="4" w:space="0" w:color="000000"/>
              <w:bottom w:val="single" w:sz="7" w:space="0" w:color="000000"/>
              <w:right w:val="single" w:sz="4" w:space="0" w:color="000000"/>
            </w:tcBorders>
          </w:tcPr>
          <w:p w14:paraId="40D64608" w14:textId="77777777" w:rsidR="00FD71D5" w:rsidRPr="009520F7" w:rsidRDefault="00FD71D5" w:rsidP="009520F7">
            <w:pPr>
              <w:kinsoku w:val="0"/>
              <w:overflowPunct w:val="0"/>
              <w:autoSpaceDE w:val="0"/>
              <w:autoSpaceDN w:val="0"/>
              <w:adjustRightInd w:val="0"/>
              <w:spacing w:before="18" w:line="264" w:lineRule="exact"/>
              <w:ind w:left="694"/>
              <w:rPr>
                <w:rFonts w:cs="Times New Roman"/>
                <w:szCs w:val="24"/>
              </w:rPr>
            </w:pPr>
            <w:r w:rsidRPr="009520F7">
              <w:rPr>
                <w:rFonts w:cs="Times New Roman"/>
                <w:spacing w:val="-5"/>
                <w:w w:val="75"/>
                <w:szCs w:val="24"/>
              </w:rPr>
              <w:t>62,688</w:t>
            </w:r>
          </w:p>
        </w:tc>
        <w:tc>
          <w:tcPr>
            <w:tcW w:w="241" w:type="dxa"/>
            <w:tcBorders>
              <w:top w:val="single" w:sz="6" w:space="0" w:color="000000"/>
              <w:left w:val="single" w:sz="4" w:space="0" w:color="000000"/>
              <w:bottom w:val="single" w:sz="7" w:space="0" w:color="000000"/>
              <w:right w:val="nil"/>
            </w:tcBorders>
          </w:tcPr>
          <w:p w14:paraId="7749677C" w14:textId="77777777" w:rsidR="00FD71D5" w:rsidRPr="009520F7" w:rsidRDefault="00FD71D5" w:rsidP="009520F7">
            <w:pPr>
              <w:kinsoku w:val="0"/>
              <w:overflowPunct w:val="0"/>
              <w:autoSpaceDE w:val="0"/>
              <w:autoSpaceDN w:val="0"/>
              <w:adjustRightInd w:val="0"/>
              <w:spacing w:before="18" w:line="264" w:lineRule="exact"/>
              <w:ind w:left="69"/>
              <w:rPr>
                <w:rFonts w:cs="Times New Roman"/>
                <w:szCs w:val="24"/>
              </w:rPr>
            </w:pPr>
            <w:r w:rsidRPr="009520F7">
              <w:rPr>
                <w:rFonts w:cs="Times New Roman"/>
                <w:w w:val="80"/>
                <w:szCs w:val="24"/>
              </w:rPr>
              <w:t>$</w:t>
            </w:r>
          </w:p>
        </w:tc>
        <w:tc>
          <w:tcPr>
            <w:tcW w:w="1019" w:type="dxa"/>
            <w:tcBorders>
              <w:top w:val="single" w:sz="6" w:space="0" w:color="000000"/>
              <w:left w:val="nil"/>
              <w:bottom w:val="single" w:sz="7" w:space="0" w:color="000000"/>
              <w:right w:val="single" w:sz="4" w:space="0" w:color="000000"/>
            </w:tcBorders>
          </w:tcPr>
          <w:p w14:paraId="5614044B" w14:textId="77777777" w:rsidR="00FD71D5" w:rsidRPr="009520F7" w:rsidRDefault="00FD71D5" w:rsidP="009520F7">
            <w:pPr>
              <w:kinsoku w:val="0"/>
              <w:overflowPunct w:val="0"/>
              <w:autoSpaceDE w:val="0"/>
              <w:autoSpaceDN w:val="0"/>
              <w:adjustRightInd w:val="0"/>
              <w:spacing w:before="18" w:line="264" w:lineRule="exact"/>
              <w:ind w:left="572"/>
              <w:rPr>
                <w:rFonts w:cs="Times New Roman"/>
                <w:szCs w:val="24"/>
              </w:rPr>
            </w:pPr>
            <w:r w:rsidRPr="009520F7">
              <w:rPr>
                <w:rFonts w:cs="Times New Roman"/>
                <w:spacing w:val="-4"/>
                <w:w w:val="80"/>
                <w:szCs w:val="24"/>
              </w:rPr>
              <w:t>3.50</w:t>
            </w:r>
          </w:p>
        </w:tc>
        <w:tc>
          <w:tcPr>
            <w:tcW w:w="225" w:type="dxa"/>
            <w:tcBorders>
              <w:top w:val="single" w:sz="6" w:space="0" w:color="000000"/>
              <w:left w:val="single" w:sz="4" w:space="0" w:color="000000"/>
              <w:bottom w:val="single" w:sz="7" w:space="0" w:color="000000"/>
              <w:right w:val="nil"/>
            </w:tcBorders>
          </w:tcPr>
          <w:p w14:paraId="58F5A203" w14:textId="77777777" w:rsidR="00FD71D5" w:rsidRPr="009520F7" w:rsidRDefault="00FD71D5" w:rsidP="009520F7">
            <w:pPr>
              <w:kinsoku w:val="0"/>
              <w:overflowPunct w:val="0"/>
              <w:autoSpaceDE w:val="0"/>
              <w:autoSpaceDN w:val="0"/>
              <w:adjustRightInd w:val="0"/>
              <w:spacing w:before="18" w:line="264" w:lineRule="exact"/>
              <w:ind w:left="79"/>
              <w:rPr>
                <w:rFonts w:cs="Times New Roman"/>
                <w:szCs w:val="24"/>
              </w:rPr>
            </w:pPr>
            <w:r w:rsidRPr="009520F7">
              <w:rPr>
                <w:rFonts w:cs="Times New Roman"/>
                <w:w w:val="80"/>
                <w:szCs w:val="24"/>
              </w:rPr>
              <w:t>$</w:t>
            </w:r>
          </w:p>
        </w:tc>
        <w:tc>
          <w:tcPr>
            <w:tcW w:w="783" w:type="dxa"/>
            <w:tcBorders>
              <w:top w:val="single" w:sz="6" w:space="0" w:color="000000"/>
              <w:left w:val="nil"/>
              <w:bottom w:val="single" w:sz="7" w:space="0" w:color="000000"/>
              <w:right w:val="single" w:sz="4" w:space="0" w:color="000000"/>
            </w:tcBorders>
          </w:tcPr>
          <w:p w14:paraId="62553517" w14:textId="77777777" w:rsidR="00FD71D5" w:rsidRPr="009520F7" w:rsidRDefault="00FD71D5" w:rsidP="009520F7">
            <w:pPr>
              <w:kinsoku w:val="0"/>
              <w:overflowPunct w:val="0"/>
              <w:autoSpaceDE w:val="0"/>
              <w:autoSpaceDN w:val="0"/>
              <w:adjustRightInd w:val="0"/>
              <w:spacing w:before="18" w:line="264" w:lineRule="exact"/>
              <w:ind w:left="62"/>
              <w:rPr>
                <w:rFonts w:cs="Times New Roman"/>
                <w:szCs w:val="24"/>
              </w:rPr>
            </w:pPr>
            <w:r w:rsidRPr="009520F7">
              <w:rPr>
                <w:rFonts w:cs="Times New Roman"/>
                <w:spacing w:val="-6"/>
                <w:w w:val="70"/>
                <w:szCs w:val="24"/>
              </w:rPr>
              <w:t>219,408.00</w:t>
            </w:r>
          </w:p>
        </w:tc>
        <w:tc>
          <w:tcPr>
            <w:tcW w:w="297" w:type="dxa"/>
            <w:tcBorders>
              <w:top w:val="single" w:sz="6" w:space="0" w:color="000000"/>
              <w:left w:val="single" w:sz="4" w:space="0" w:color="000000"/>
              <w:bottom w:val="single" w:sz="7" w:space="0" w:color="000000"/>
              <w:right w:val="nil"/>
            </w:tcBorders>
          </w:tcPr>
          <w:p w14:paraId="79E291B0" w14:textId="77777777" w:rsidR="00FD71D5" w:rsidRPr="009520F7" w:rsidRDefault="00FD71D5" w:rsidP="009520F7">
            <w:pPr>
              <w:kinsoku w:val="0"/>
              <w:overflowPunct w:val="0"/>
              <w:autoSpaceDE w:val="0"/>
              <w:autoSpaceDN w:val="0"/>
              <w:adjustRightInd w:val="0"/>
              <w:spacing w:before="18" w:line="264" w:lineRule="exact"/>
              <w:ind w:left="80"/>
              <w:rPr>
                <w:rFonts w:cs="Times New Roman"/>
                <w:szCs w:val="24"/>
              </w:rPr>
            </w:pPr>
            <w:r w:rsidRPr="009520F7">
              <w:rPr>
                <w:rFonts w:cs="Times New Roman"/>
                <w:w w:val="80"/>
                <w:szCs w:val="24"/>
              </w:rPr>
              <w:t>$</w:t>
            </w:r>
          </w:p>
        </w:tc>
        <w:tc>
          <w:tcPr>
            <w:tcW w:w="1035" w:type="dxa"/>
            <w:tcBorders>
              <w:top w:val="single" w:sz="6" w:space="0" w:color="000000"/>
              <w:left w:val="nil"/>
              <w:bottom w:val="single" w:sz="7" w:space="0" w:color="000000"/>
              <w:right w:val="single" w:sz="4" w:space="0" w:color="000000"/>
            </w:tcBorders>
          </w:tcPr>
          <w:p w14:paraId="03FC0115" w14:textId="77777777" w:rsidR="00FD71D5" w:rsidRPr="009520F7" w:rsidRDefault="00FD71D5" w:rsidP="009520F7">
            <w:pPr>
              <w:kinsoku w:val="0"/>
              <w:overflowPunct w:val="0"/>
              <w:autoSpaceDE w:val="0"/>
              <w:autoSpaceDN w:val="0"/>
              <w:adjustRightInd w:val="0"/>
              <w:spacing w:before="18" w:line="264" w:lineRule="exact"/>
              <w:ind w:left="294"/>
              <w:rPr>
                <w:rFonts w:cs="Times New Roman"/>
                <w:szCs w:val="24"/>
              </w:rPr>
            </w:pPr>
            <w:r w:rsidRPr="009520F7">
              <w:rPr>
                <w:rFonts w:cs="Times New Roman"/>
                <w:spacing w:val="-7"/>
                <w:w w:val="70"/>
                <w:szCs w:val="24"/>
              </w:rPr>
              <w:t>0.0001252</w:t>
            </w:r>
          </w:p>
        </w:tc>
        <w:tc>
          <w:tcPr>
            <w:tcW w:w="810" w:type="dxa"/>
            <w:tcBorders>
              <w:top w:val="single" w:sz="6" w:space="0" w:color="000000"/>
              <w:left w:val="single" w:sz="4" w:space="0" w:color="000000"/>
              <w:bottom w:val="single" w:sz="7" w:space="0" w:color="000000"/>
              <w:right w:val="single" w:sz="5" w:space="0" w:color="000000"/>
            </w:tcBorders>
          </w:tcPr>
          <w:p w14:paraId="75C224B8" w14:textId="77777777" w:rsidR="00FD71D5" w:rsidRPr="009520F7" w:rsidRDefault="00FD71D5" w:rsidP="009520F7">
            <w:pPr>
              <w:kinsoku w:val="0"/>
              <w:overflowPunct w:val="0"/>
              <w:autoSpaceDE w:val="0"/>
              <w:autoSpaceDN w:val="0"/>
              <w:adjustRightInd w:val="0"/>
              <w:spacing w:before="18" w:line="264" w:lineRule="exact"/>
              <w:ind w:right="61"/>
              <w:rPr>
                <w:rFonts w:cs="Times New Roman"/>
                <w:szCs w:val="24"/>
              </w:rPr>
            </w:pPr>
            <w:r w:rsidRPr="009520F7">
              <w:rPr>
                <w:rFonts w:cs="Times New Roman"/>
                <w:spacing w:val="-5"/>
                <w:w w:val="65"/>
                <w:szCs w:val="24"/>
              </w:rPr>
              <w:t>675</w:t>
            </w:r>
          </w:p>
        </w:tc>
        <w:tc>
          <w:tcPr>
            <w:tcW w:w="392" w:type="dxa"/>
            <w:tcBorders>
              <w:top w:val="single" w:sz="6" w:space="0" w:color="000000"/>
              <w:left w:val="single" w:sz="5" w:space="0" w:color="000000"/>
              <w:bottom w:val="single" w:sz="7" w:space="0" w:color="000000"/>
              <w:right w:val="nil"/>
            </w:tcBorders>
          </w:tcPr>
          <w:p w14:paraId="3407997C" w14:textId="77777777" w:rsidR="00FD71D5" w:rsidRPr="009520F7" w:rsidRDefault="00FD71D5" w:rsidP="009520F7">
            <w:pPr>
              <w:kinsoku w:val="0"/>
              <w:overflowPunct w:val="0"/>
              <w:autoSpaceDE w:val="0"/>
              <w:autoSpaceDN w:val="0"/>
              <w:adjustRightInd w:val="0"/>
              <w:spacing w:before="18" w:line="264" w:lineRule="exact"/>
              <w:ind w:left="79"/>
              <w:rPr>
                <w:rFonts w:cs="Times New Roman"/>
                <w:szCs w:val="24"/>
              </w:rPr>
            </w:pPr>
            <w:r w:rsidRPr="009520F7">
              <w:rPr>
                <w:rFonts w:cs="Times New Roman"/>
                <w:w w:val="80"/>
                <w:szCs w:val="24"/>
              </w:rPr>
              <w:t>$</w:t>
            </w:r>
          </w:p>
        </w:tc>
        <w:tc>
          <w:tcPr>
            <w:tcW w:w="452" w:type="dxa"/>
            <w:tcBorders>
              <w:top w:val="single" w:sz="6" w:space="0" w:color="000000"/>
              <w:left w:val="nil"/>
              <w:bottom w:val="single" w:sz="7" w:space="0" w:color="000000"/>
              <w:right w:val="nil"/>
            </w:tcBorders>
          </w:tcPr>
          <w:p w14:paraId="22980097" w14:textId="77777777" w:rsidR="00FD71D5" w:rsidRPr="009520F7" w:rsidRDefault="00FD71D5" w:rsidP="009520F7">
            <w:pPr>
              <w:autoSpaceDE w:val="0"/>
              <w:autoSpaceDN w:val="0"/>
              <w:adjustRightInd w:val="0"/>
              <w:rPr>
                <w:rFonts w:cs="Times New Roman"/>
                <w:szCs w:val="24"/>
              </w:rPr>
            </w:pPr>
          </w:p>
        </w:tc>
        <w:tc>
          <w:tcPr>
            <w:tcW w:w="596" w:type="dxa"/>
            <w:tcBorders>
              <w:top w:val="single" w:sz="6" w:space="0" w:color="000000"/>
              <w:left w:val="nil"/>
              <w:bottom w:val="single" w:sz="7" w:space="0" w:color="000000"/>
              <w:right w:val="single" w:sz="4" w:space="0" w:color="000000"/>
            </w:tcBorders>
          </w:tcPr>
          <w:p w14:paraId="3C5B72D4" w14:textId="77777777" w:rsidR="00FD71D5" w:rsidRPr="009520F7" w:rsidRDefault="00FD71D5" w:rsidP="009520F7">
            <w:pPr>
              <w:kinsoku w:val="0"/>
              <w:overflowPunct w:val="0"/>
              <w:autoSpaceDE w:val="0"/>
              <w:autoSpaceDN w:val="0"/>
              <w:adjustRightInd w:val="0"/>
              <w:spacing w:before="18" w:line="264" w:lineRule="exact"/>
              <w:ind w:left="143"/>
              <w:rPr>
                <w:rFonts w:cs="Times New Roman"/>
                <w:szCs w:val="24"/>
              </w:rPr>
            </w:pPr>
            <w:r w:rsidRPr="009520F7">
              <w:rPr>
                <w:rFonts w:cs="Times New Roman"/>
                <w:spacing w:val="-4"/>
                <w:w w:val="80"/>
                <w:szCs w:val="24"/>
              </w:rPr>
              <w:t>0.08</w:t>
            </w:r>
          </w:p>
        </w:tc>
      </w:tr>
      <w:tr w:rsidR="00FD71D5" w:rsidRPr="009520F7" w14:paraId="65867C17" w14:textId="77777777" w:rsidTr="00120477">
        <w:trPr>
          <w:trHeight w:hRule="exact" w:val="272"/>
        </w:trPr>
        <w:tc>
          <w:tcPr>
            <w:tcW w:w="2244" w:type="dxa"/>
            <w:tcBorders>
              <w:top w:val="single" w:sz="7" w:space="0" w:color="000000"/>
              <w:left w:val="single" w:sz="4" w:space="0" w:color="E0E0E0"/>
              <w:bottom w:val="single" w:sz="6" w:space="0" w:color="E0E0E0"/>
              <w:right w:val="single" w:sz="4" w:space="0" w:color="E0E0E0"/>
            </w:tcBorders>
          </w:tcPr>
          <w:p w14:paraId="0D29DE1E" w14:textId="77777777" w:rsidR="00FD71D5" w:rsidRPr="009520F7" w:rsidRDefault="00FD71D5" w:rsidP="009520F7">
            <w:pPr>
              <w:autoSpaceDE w:val="0"/>
              <w:autoSpaceDN w:val="0"/>
              <w:adjustRightInd w:val="0"/>
              <w:rPr>
                <w:rFonts w:cs="Times New Roman"/>
                <w:szCs w:val="24"/>
              </w:rPr>
            </w:pPr>
          </w:p>
        </w:tc>
        <w:tc>
          <w:tcPr>
            <w:tcW w:w="736" w:type="dxa"/>
            <w:tcBorders>
              <w:top w:val="single" w:sz="7" w:space="0" w:color="000000"/>
              <w:left w:val="single" w:sz="4" w:space="0" w:color="E0E0E0"/>
              <w:bottom w:val="single" w:sz="6" w:space="0" w:color="E0E0E0"/>
              <w:right w:val="single" w:sz="4" w:space="0" w:color="E0E0E0"/>
            </w:tcBorders>
          </w:tcPr>
          <w:p w14:paraId="1A3ACBCA" w14:textId="77777777" w:rsidR="00FD71D5" w:rsidRPr="009520F7" w:rsidRDefault="00FD71D5" w:rsidP="009520F7">
            <w:pPr>
              <w:autoSpaceDE w:val="0"/>
              <w:autoSpaceDN w:val="0"/>
              <w:adjustRightInd w:val="0"/>
              <w:rPr>
                <w:rFonts w:cs="Times New Roman"/>
                <w:szCs w:val="24"/>
              </w:rPr>
            </w:pPr>
          </w:p>
        </w:tc>
        <w:tc>
          <w:tcPr>
            <w:tcW w:w="1425" w:type="dxa"/>
            <w:tcBorders>
              <w:top w:val="single" w:sz="7" w:space="0" w:color="000000"/>
              <w:left w:val="single" w:sz="4" w:space="0" w:color="E0E0E0"/>
              <w:bottom w:val="single" w:sz="6" w:space="0" w:color="E0E0E0"/>
              <w:right w:val="single" w:sz="4" w:space="0" w:color="E0E0E0"/>
            </w:tcBorders>
          </w:tcPr>
          <w:p w14:paraId="5CA8C246" w14:textId="77777777" w:rsidR="00FD71D5" w:rsidRPr="009520F7" w:rsidRDefault="00FD71D5" w:rsidP="009520F7">
            <w:pPr>
              <w:autoSpaceDE w:val="0"/>
              <w:autoSpaceDN w:val="0"/>
              <w:adjustRightInd w:val="0"/>
              <w:rPr>
                <w:rFonts w:cs="Times New Roman"/>
                <w:szCs w:val="24"/>
              </w:rPr>
            </w:pPr>
          </w:p>
        </w:tc>
        <w:tc>
          <w:tcPr>
            <w:tcW w:w="1260" w:type="dxa"/>
            <w:gridSpan w:val="2"/>
            <w:tcBorders>
              <w:top w:val="single" w:sz="7" w:space="0" w:color="000000"/>
              <w:left w:val="single" w:sz="4" w:space="0" w:color="E0E0E0"/>
              <w:bottom w:val="single" w:sz="6" w:space="0" w:color="E0E0E0"/>
              <w:right w:val="single" w:sz="4" w:space="0" w:color="E0E0E0"/>
            </w:tcBorders>
          </w:tcPr>
          <w:p w14:paraId="5131D29E" w14:textId="77777777" w:rsidR="00FD71D5" w:rsidRPr="009520F7" w:rsidRDefault="00FD71D5" w:rsidP="009520F7">
            <w:pPr>
              <w:autoSpaceDE w:val="0"/>
              <w:autoSpaceDN w:val="0"/>
              <w:adjustRightInd w:val="0"/>
              <w:rPr>
                <w:rFonts w:cs="Times New Roman"/>
                <w:szCs w:val="24"/>
              </w:rPr>
            </w:pPr>
          </w:p>
        </w:tc>
        <w:tc>
          <w:tcPr>
            <w:tcW w:w="1008" w:type="dxa"/>
            <w:gridSpan w:val="2"/>
            <w:tcBorders>
              <w:top w:val="single" w:sz="7" w:space="0" w:color="000000"/>
              <w:left w:val="single" w:sz="4" w:space="0" w:color="E0E0E0"/>
              <w:bottom w:val="single" w:sz="6" w:space="0" w:color="E0E0E0"/>
              <w:right w:val="single" w:sz="4" w:space="0" w:color="E0E0E0"/>
            </w:tcBorders>
          </w:tcPr>
          <w:p w14:paraId="7F69D368" w14:textId="77777777" w:rsidR="00FD71D5" w:rsidRPr="009520F7" w:rsidRDefault="00FD71D5" w:rsidP="009520F7">
            <w:pPr>
              <w:autoSpaceDE w:val="0"/>
              <w:autoSpaceDN w:val="0"/>
              <w:adjustRightInd w:val="0"/>
              <w:rPr>
                <w:rFonts w:cs="Times New Roman"/>
                <w:szCs w:val="24"/>
              </w:rPr>
            </w:pPr>
          </w:p>
        </w:tc>
        <w:tc>
          <w:tcPr>
            <w:tcW w:w="1332" w:type="dxa"/>
            <w:gridSpan w:val="2"/>
            <w:tcBorders>
              <w:top w:val="single" w:sz="7" w:space="0" w:color="000000"/>
              <w:left w:val="single" w:sz="4" w:space="0" w:color="E0E0E0"/>
              <w:bottom w:val="single" w:sz="6" w:space="0" w:color="E0E0E0"/>
              <w:right w:val="single" w:sz="4" w:space="0" w:color="E0E0E0"/>
            </w:tcBorders>
          </w:tcPr>
          <w:p w14:paraId="19E03F16" w14:textId="77777777" w:rsidR="00FD71D5" w:rsidRPr="009520F7" w:rsidRDefault="00FD71D5" w:rsidP="009520F7">
            <w:pPr>
              <w:autoSpaceDE w:val="0"/>
              <w:autoSpaceDN w:val="0"/>
              <w:adjustRightInd w:val="0"/>
              <w:rPr>
                <w:rFonts w:cs="Times New Roman"/>
                <w:szCs w:val="24"/>
              </w:rPr>
            </w:pPr>
          </w:p>
        </w:tc>
        <w:tc>
          <w:tcPr>
            <w:tcW w:w="810" w:type="dxa"/>
            <w:tcBorders>
              <w:top w:val="single" w:sz="7" w:space="0" w:color="000000"/>
              <w:left w:val="single" w:sz="4" w:space="0" w:color="E0E0E0"/>
              <w:bottom w:val="single" w:sz="6" w:space="0" w:color="E0E0E0"/>
              <w:right w:val="single" w:sz="5" w:space="0" w:color="E0E0E0"/>
            </w:tcBorders>
          </w:tcPr>
          <w:p w14:paraId="4AE0DDAC" w14:textId="77777777" w:rsidR="00FD71D5" w:rsidRPr="009520F7" w:rsidRDefault="00FD71D5" w:rsidP="009520F7">
            <w:pPr>
              <w:autoSpaceDE w:val="0"/>
              <w:autoSpaceDN w:val="0"/>
              <w:adjustRightInd w:val="0"/>
              <w:rPr>
                <w:rFonts w:cs="Times New Roman"/>
                <w:szCs w:val="24"/>
              </w:rPr>
            </w:pPr>
          </w:p>
        </w:tc>
        <w:tc>
          <w:tcPr>
            <w:tcW w:w="1440" w:type="dxa"/>
            <w:gridSpan w:val="3"/>
            <w:tcBorders>
              <w:top w:val="single" w:sz="7" w:space="0" w:color="000000"/>
              <w:left w:val="single" w:sz="5" w:space="0" w:color="E0E0E0"/>
              <w:bottom w:val="single" w:sz="6" w:space="0" w:color="E0E0E0"/>
              <w:right w:val="single" w:sz="4" w:space="0" w:color="E0E0E0"/>
            </w:tcBorders>
          </w:tcPr>
          <w:p w14:paraId="2FA4EF8B" w14:textId="77777777" w:rsidR="00FD71D5" w:rsidRPr="009520F7" w:rsidRDefault="00FD71D5" w:rsidP="009520F7">
            <w:pPr>
              <w:autoSpaceDE w:val="0"/>
              <w:autoSpaceDN w:val="0"/>
              <w:adjustRightInd w:val="0"/>
              <w:rPr>
                <w:rFonts w:cs="Times New Roman"/>
                <w:szCs w:val="24"/>
              </w:rPr>
            </w:pPr>
          </w:p>
        </w:tc>
      </w:tr>
      <w:tr w:rsidR="00FD71D5" w:rsidRPr="009520F7" w14:paraId="2139E238" w14:textId="77777777" w:rsidTr="00120477">
        <w:trPr>
          <w:trHeight w:hRule="exact" w:val="300"/>
        </w:trPr>
        <w:tc>
          <w:tcPr>
            <w:tcW w:w="4405" w:type="dxa"/>
            <w:gridSpan w:val="3"/>
            <w:tcBorders>
              <w:top w:val="single" w:sz="6" w:space="0" w:color="E0E0E0"/>
              <w:left w:val="single" w:sz="4" w:space="0" w:color="E0E0E0"/>
              <w:bottom w:val="single" w:sz="6" w:space="0" w:color="E0E0E0"/>
              <w:right w:val="single" w:sz="4" w:space="0" w:color="E0E0E0"/>
            </w:tcBorders>
          </w:tcPr>
          <w:p w14:paraId="73535AF7" w14:textId="77777777" w:rsidR="00FD71D5" w:rsidRPr="009520F7" w:rsidRDefault="00FD71D5" w:rsidP="009520F7">
            <w:pPr>
              <w:kinsoku w:val="0"/>
              <w:overflowPunct w:val="0"/>
              <w:autoSpaceDE w:val="0"/>
              <w:autoSpaceDN w:val="0"/>
              <w:adjustRightInd w:val="0"/>
              <w:spacing w:before="59"/>
              <w:ind w:left="19"/>
              <w:rPr>
                <w:rFonts w:cs="Times New Roman"/>
                <w:szCs w:val="24"/>
              </w:rPr>
            </w:pPr>
            <w:r w:rsidRPr="009520F7">
              <w:rPr>
                <w:rFonts w:cs="Times New Roman"/>
                <w:b/>
                <w:bCs/>
                <w:spacing w:val="-2"/>
                <w:w w:val="70"/>
                <w:szCs w:val="24"/>
              </w:rPr>
              <w:t>1)</w:t>
            </w:r>
            <w:r w:rsidRPr="009520F7">
              <w:rPr>
                <w:rFonts w:cs="Times New Roman"/>
                <w:b/>
                <w:bCs/>
                <w:spacing w:val="-8"/>
                <w:w w:val="70"/>
                <w:szCs w:val="24"/>
              </w:rPr>
              <w:t xml:space="preserve"> </w:t>
            </w:r>
            <w:r w:rsidRPr="009520F7">
              <w:rPr>
                <w:rFonts w:cs="Times New Roman"/>
                <w:b/>
                <w:bCs/>
                <w:spacing w:val="-3"/>
                <w:w w:val="70"/>
                <w:szCs w:val="24"/>
              </w:rPr>
              <w:t>The</w:t>
            </w:r>
            <w:r w:rsidRPr="009520F7">
              <w:rPr>
                <w:rFonts w:cs="Times New Roman"/>
                <w:b/>
                <w:bCs/>
                <w:spacing w:val="-9"/>
                <w:w w:val="70"/>
                <w:szCs w:val="24"/>
              </w:rPr>
              <w:t xml:space="preserve"> </w:t>
            </w:r>
            <w:r w:rsidRPr="009520F7">
              <w:rPr>
                <w:rFonts w:cs="Times New Roman"/>
                <w:b/>
                <w:bCs/>
                <w:spacing w:val="-4"/>
                <w:w w:val="70"/>
                <w:szCs w:val="24"/>
              </w:rPr>
              <w:t>monthly</w:t>
            </w:r>
            <w:r w:rsidRPr="009520F7">
              <w:rPr>
                <w:rFonts w:cs="Times New Roman"/>
                <w:b/>
                <w:bCs/>
                <w:spacing w:val="-6"/>
                <w:w w:val="70"/>
                <w:szCs w:val="24"/>
              </w:rPr>
              <w:t xml:space="preserve"> </w:t>
            </w:r>
            <w:r w:rsidRPr="009520F7">
              <w:rPr>
                <w:rFonts w:cs="Times New Roman"/>
                <w:b/>
                <w:bCs/>
                <w:spacing w:val="-3"/>
                <w:w w:val="70"/>
                <w:szCs w:val="24"/>
              </w:rPr>
              <w:t>rate</w:t>
            </w:r>
            <w:r w:rsidRPr="009520F7">
              <w:rPr>
                <w:rFonts w:cs="Times New Roman"/>
                <w:b/>
                <w:bCs/>
                <w:spacing w:val="-9"/>
                <w:w w:val="70"/>
                <w:szCs w:val="24"/>
              </w:rPr>
              <w:t xml:space="preserve"> </w:t>
            </w:r>
            <w:r w:rsidRPr="009520F7">
              <w:rPr>
                <w:rFonts w:cs="Times New Roman"/>
                <w:b/>
                <w:bCs/>
                <w:spacing w:val="-2"/>
                <w:w w:val="70"/>
                <w:szCs w:val="24"/>
              </w:rPr>
              <w:t>impact</w:t>
            </w:r>
            <w:r w:rsidRPr="009520F7">
              <w:rPr>
                <w:rFonts w:cs="Times New Roman"/>
                <w:b/>
                <w:bCs/>
                <w:spacing w:val="-10"/>
                <w:w w:val="70"/>
                <w:szCs w:val="24"/>
              </w:rPr>
              <w:t xml:space="preserve"> </w:t>
            </w:r>
            <w:r w:rsidRPr="009520F7">
              <w:rPr>
                <w:rFonts w:cs="Times New Roman"/>
                <w:b/>
                <w:bCs/>
                <w:spacing w:val="-2"/>
                <w:w w:val="70"/>
                <w:szCs w:val="24"/>
              </w:rPr>
              <w:t>excludes</w:t>
            </w:r>
            <w:r w:rsidRPr="009520F7">
              <w:rPr>
                <w:rFonts w:cs="Times New Roman"/>
                <w:b/>
                <w:bCs/>
                <w:spacing w:val="-7"/>
                <w:w w:val="70"/>
                <w:szCs w:val="24"/>
              </w:rPr>
              <w:t xml:space="preserve"> </w:t>
            </w:r>
            <w:r w:rsidRPr="009520F7">
              <w:rPr>
                <w:rFonts w:cs="Times New Roman"/>
                <w:b/>
                <w:bCs/>
                <w:spacing w:val="1"/>
                <w:w w:val="70"/>
                <w:szCs w:val="24"/>
              </w:rPr>
              <w:t>EUERF,</w:t>
            </w:r>
            <w:r w:rsidRPr="009520F7">
              <w:rPr>
                <w:rFonts w:cs="Times New Roman"/>
                <w:b/>
                <w:bCs/>
                <w:spacing w:val="-10"/>
                <w:w w:val="70"/>
                <w:szCs w:val="24"/>
              </w:rPr>
              <w:t xml:space="preserve"> </w:t>
            </w:r>
            <w:r w:rsidRPr="009520F7">
              <w:rPr>
                <w:rFonts w:cs="Times New Roman"/>
                <w:b/>
                <w:bCs/>
                <w:spacing w:val="-2"/>
                <w:w w:val="70"/>
                <w:szCs w:val="24"/>
              </w:rPr>
              <w:t>franchise</w:t>
            </w:r>
            <w:r w:rsidRPr="009520F7">
              <w:rPr>
                <w:rFonts w:cs="Times New Roman"/>
                <w:b/>
                <w:bCs/>
                <w:spacing w:val="-8"/>
                <w:w w:val="70"/>
                <w:szCs w:val="24"/>
              </w:rPr>
              <w:t xml:space="preserve"> </w:t>
            </w:r>
            <w:r w:rsidRPr="009520F7">
              <w:rPr>
                <w:rFonts w:cs="Times New Roman"/>
                <w:b/>
                <w:bCs/>
                <w:w w:val="70"/>
                <w:szCs w:val="24"/>
              </w:rPr>
              <w:t>fees,</w:t>
            </w:r>
            <w:r w:rsidRPr="009520F7">
              <w:rPr>
                <w:rFonts w:cs="Times New Roman"/>
                <w:b/>
                <w:bCs/>
                <w:spacing w:val="-10"/>
                <w:w w:val="70"/>
                <w:szCs w:val="24"/>
              </w:rPr>
              <w:t xml:space="preserve"> </w:t>
            </w:r>
            <w:r w:rsidRPr="009520F7">
              <w:rPr>
                <w:rFonts w:cs="Times New Roman"/>
                <w:b/>
                <w:bCs/>
                <w:spacing w:val="-3"/>
                <w:w w:val="70"/>
                <w:szCs w:val="24"/>
              </w:rPr>
              <w:t>and</w:t>
            </w:r>
            <w:r w:rsidRPr="009520F7">
              <w:rPr>
                <w:rFonts w:cs="Times New Roman"/>
                <w:b/>
                <w:bCs/>
                <w:spacing w:val="-12"/>
                <w:w w:val="70"/>
                <w:szCs w:val="24"/>
              </w:rPr>
              <w:t xml:space="preserve"> </w:t>
            </w:r>
            <w:r w:rsidRPr="009520F7">
              <w:rPr>
                <w:rFonts w:cs="Times New Roman"/>
                <w:b/>
                <w:bCs/>
                <w:w w:val="70"/>
                <w:szCs w:val="24"/>
              </w:rPr>
              <w:t>taxes.</w:t>
            </w:r>
          </w:p>
        </w:tc>
        <w:tc>
          <w:tcPr>
            <w:tcW w:w="1260" w:type="dxa"/>
            <w:gridSpan w:val="2"/>
            <w:tcBorders>
              <w:top w:val="single" w:sz="6" w:space="0" w:color="E0E0E0"/>
              <w:left w:val="single" w:sz="4" w:space="0" w:color="E0E0E0"/>
              <w:bottom w:val="single" w:sz="6" w:space="0" w:color="E0E0E0"/>
              <w:right w:val="single" w:sz="4" w:space="0" w:color="E0E0E0"/>
            </w:tcBorders>
          </w:tcPr>
          <w:p w14:paraId="5FD5A30D" w14:textId="77777777" w:rsidR="00FD71D5" w:rsidRPr="009520F7" w:rsidRDefault="00FD71D5" w:rsidP="009520F7">
            <w:pPr>
              <w:autoSpaceDE w:val="0"/>
              <w:autoSpaceDN w:val="0"/>
              <w:adjustRightInd w:val="0"/>
              <w:rPr>
                <w:rFonts w:cs="Times New Roman"/>
                <w:szCs w:val="24"/>
              </w:rPr>
            </w:pPr>
          </w:p>
        </w:tc>
        <w:tc>
          <w:tcPr>
            <w:tcW w:w="1008" w:type="dxa"/>
            <w:gridSpan w:val="2"/>
            <w:tcBorders>
              <w:top w:val="single" w:sz="6" w:space="0" w:color="E0E0E0"/>
              <w:left w:val="single" w:sz="4" w:space="0" w:color="E0E0E0"/>
              <w:bottom w:val="single" w:sz="6" w:space="0" w:color="E0E0E0"/>
              <w:right w:val="single" w:sz="4" w:space="0" w:color="E0E0E0"/>
            </w:tcBorders>
          </w:tcPr>
          <w:p w14:paraId="21DD042A" w14:textId="77777777" w:rsidR="00FD71D5" w:rsidRPr="009520F7" w:rsidRDefault="00FD71D5" w:rsidP="009520F7">
            <w:pPr>
              <w:autoSpaceDE w:val="0"/>
              <w:autoSpaceDN w:val="0"/>
              <w:adjustRightInd w:val="0"/>
              <w:rPr>
                <w:rFonts w:cs="Times New Roman"/>
                <w:szCs w:val="24"/>
              </w:rPr>
            </w:pPr>
          </w:p>
        </w:tc>
        <w:tc>
          <w:tcPr>
            <w:tcW w:w="1332" w:type="dxa"/>
            <w:gridSpan w:val="2"/>
            <w:tcBorders>
              <w:top w:val="single" w:sz="6" w:space="0" w:color="E0E0E0"/>
              <w:left w:val="single" w:sz="4" w:space="0" w:color="E0E0E0"/>
              <w:bottom w:val="single" w:sz="6" w:space="0" w:color="E0E0E0"/>
              <w:right w:val="single" w:sz="4" w:space="0" w:color="E0E0E0"/>
            </w:tcBorders>
          </w:tcPr>
          <w:p w14:paraId="36F57BF3" w14:textId="77777777" w:rsidR="00FD71D5" w:rsidRPr="009520F7" w:rsidRDefault="00FD71D5" w:rsidP="009520F7">
            <w:pPr>
              <w:autoSpaceDE w:val="0"/>
              <w:autoSpaceDN w:val="0"/>
              <w:adjustRightInd w:val="0"/>
              <w:rPr>
                <w:rFonts w:cs="Times New Roman"/>
                <w:szCs w:val="24"/>
              </w:rPr>
            </w:pPr>
          </w:p>
        </w:tc>
        <w:tc>
          <w:tcPr>
            <w:tcW w:w="810" w:type="dxa"/>
            <w:tcBorders>
              <w:top w:val="single" w:sz="6" w:space="0" w:color="E0E0E0"/>
              <w:left w:val="single" w:sz="4" w:space="0" w:color="E0E0E0"/>
              <w:bottom w:val="single" w:sz="6" w:space="0" w:color="E0E0E0"/>
              <w:right w:val="single" w:sz="5" w:space="0" w:color="E0E0E0"/>
            </w:tcBorders>
          </w:tcPr>
          <w:p w14:paraId="02A0F811" w14:textId="77777777" w:rsidR="00FD71D5" w:rsidRPr="009520F7" w:rsidRDefault="00FD71D5" w:rsidP="009520F7">
            <w:pPr>
              <w:autoSpaceDE w:val="0"/>
              <w:autoSpaceDN w:val="0"/>
              <w:adjustRightInd w:val="0"/>
              <w:rPr>
                <w:rFonts w:cs="Times New Roman"/>
                <w:szCs w:val="24"/>
              </w:rPr>
            </w:pPr>
          </w:p>
        </w:tc>
        <w:tc>
          <w:tcPr>
            <w:tcW w:w="1440" w:type="dxa"/>
            <w:gridSpan w:val="3"/>
            <w:tcBorders>
              <w:top w:val="single" w:sz="6" w:space="0" w:color="E0E0E0"/>
              <w:left w:val="single" w:sz="5" w:space="0" w:color="E0E0E0"/>
              <w:bottom w:val="single" w:sz="6" w:space="0" w:color="E0E0E0"/>
              <w:right w:val="single" w:sz="4" w:space="0" w:color="E0E0E0"/>
            </w:tcBorders>
          </w:tcPr>
          <w:p w14:paraId="74594F08" w14:textId="77777777" w:rsidR="00FD71D5" w:rsidRPr="009520F7" w:rsidRDefault="00FD71D5" w:rsidP="009520F7">
            <w:pPr>
              <w:autoSpaceDE w:val="0"/>
              <w:autoSpaceDN w:val="0"/>
              <w:adjustRightInd w:val="0"/>
              <w:rPr>
                <w:rFonts w:cs="Times New Roman"/>
                <w:szCs w:val="24"/>
              </w:rPr>
            </w:pPr>
          </w:p>
        </w:tc>
      </w:tr>
    </w:tbl>
    <w:p w14:paraId="44A82F92" w14:textId="77777777" w:rsidR="00FD71D5" w:rsidRPr="009520F7" w:rsidRDefault="00FD71D5" w:rsidP="009520F7">
      <w:pPr>
        <w:autoSpaceDE w:val="0"/>
        <w:autoSpaceDN w:val="0"/>
        <w:adjustRightInd w:val="0"/>
        <w:spacing w:line="480" w:lineRule="auto"/>
        <w:ind w:firstLine="720"/>
        <w:rPr>
          <w:rFonts w:cs="Times New Roman"/>
          <w:szCs w:val="24"/>
        </w:rPr>
      </w:pPr>
      <w:r w:rsidRPr="009520F7">
        <w:rPr>
          <w:rFonts w:cs="Times New Roman"/>
          <w:szCs w:val="24"/>
        </w:rPr>
        <w:t xml:space="preserve"> The following table shows the estimated effect of the BV-PPA Amendments’ price rate increases for the Residential rate class. These estimates are subject to change by the Commission based on its findings in this case.</w:t>
      </w:r>
    </w:p>
    <w:p w14:paraId="0335DAD8" w14:textId="77777777" w:rsidR="00FD71D5" w:rsidRPr="009520F7" w:rsidRDefault="00FD71D5" w:rsidP="009520F7">
      <w:pPr>
        <w:autoSpaceDE w:val="0"/>
        <w:autoSpaceDN w:val="0"/>
        <w:adjustRightInd w:val="0"/>
        <w:rPr>
          <w:rFonts w:cs="Times New Roman"/>
          <w:szCs w:val="24"/>
          <w:u w:val="single"/>
        </w:rPr>
      </w:pPr>
    </w:p>
    <w:p w14:paraId="44194C09" w14:textId="77777777" w:rsidR="00FD71D5" w:rsidRPr="009520F7" w:rsidRDefault="00FD71D5" w:rsidP="009520F7">
      <w:pPr>
        <w:autoSpaceDE w:val="0"/>
        <w:autoSpaceDN w:val="0"/>
        <w:adjustRightInd w:val="0"/>
        <w:spacing w:line="480" w:lineRule="auto"/>
        <w:ind w:firstLine="720"/>
        <w:rPr>
          <w:rFonts w:cs="Times New Roman"/>
          <w:bCs/>
          <w:szCs w:val="24"/>
        </w:rPr>
      </w:pPr>
      <w:r w:rsidRPr="009520F7">
        <w:rPr>
          <w:rFonts w:cs="Times New Roman"/>
          <w:szCs w:val="24"/>
          <w:u w:val="single"/>
        </w:rPr>
        <w:t>Amendment 1 to Hecate-PPA-1</w:t>
      </w:r>
      <w:r w:rsidRPr="009520F7">
        <w:rPr>
          <w:rFonts w:cs="Times New Roman"/>
          <w:szCs w:val="24"/>
        </w:rPr>
        <w:t xml:space="preserve">: Modifies the COD to June 1, 2024; Construction milestone delay damages were increased from $1,500 to $2,500; The language on the time of construction progress reports was adjusted to make clear that such reports are due monthly until other milestones affecting their frequency are met; The Commissioning Testing dates for the new COD were adjusted; A condition precedent was added requiring the Commission’s approval of the amendment; The security fund was increased from $10 million to $11.6 million; and the definition of events of </w:t>
      </w:r>
      <w:r w:rsidRPr="009520F7">
        <w:rPr>
          <w:rFonts w:cs="Times New Roman"/>
          <w:bCs/>
          <w:szCs w:val="24"/>
        </w:rPr>
        <w:t>construction default were amended by decreasing the cure period for failing to comply with a material term and condition, adding failure to submit a timely progress report, and decreasing the time to cure a failure to meeting a construction milestone date.</w:t>
      </w:r>
    </w:p>
    <w:p w14:paraId="1986DEA0" w14:textId="77777777" w:rsidR="00FD71D5" w:rsidRPr="009520F7" w:rsidRDefault="00FD71D5" w:rsidP="009520F7">
      <w:pPr>
        <w:autoSpaceDE w:val="0"/>
        <w:autoSpaceDN w:val="0"/>
        <w:adjustRightInd w:val="0"/>
        <w:spacing w:line="480" w:lineRule="auto"/>
        <w:ind w:firstLine="720"/>
        <w:rPr>
          <w:rFonts w:cs="Times New Roman"/>
          <w:bCs/>
          <w:szCs w:val="24"/>
        </w:rPr>
      </w:pPr>
      <w:r w:rsidRPr="009520F7">
        <w:rPr>
          <w:rFonts w:cs="Times New Roman"/>
          <w:szCs w:val="24"/>
          <w:u w:val="single"/>
        </w:rPr>
        <w:t>Amendment 1 to Hecate-PPA-2</w:t>
      </w:r>
      <w:r w:rsidRPr="009520F7">
        <w:rPr>
          <w:rFonts w:cs="Times New Roman"/>
          <w:szCs w:val="24"/>
        </w:rPr>
        <w:t xml:space="preserve">: Modifies the COD to June 1, 2024; Construction milestone delay damages were increased from $1,500 to $2,500; The language on the time of </w:t>
      </w:r>
      <w:r w:rsidRPr="009520F7">
        <w:rPr>
          <w:rFonts w:cs="Times New Roman"/>
          <w:szCs w:val="24"/>
        </w:rPr>
        <w:lastRenderedPageBreak/>
        <w:t xml:space="preserve">construction progress reports was adjusted to make clear that such reports are due monthly until other milestones affecting their frequency are met; The Commissioning Testing dates for the new COD were adjusted; A condition precedent was added requiring the Commission’s approval of the amendment; The security fund was increased from $5 million to $5.8 million; and the definition of events of </w:t>
      </w:r>
      <w:r w:rsidRPr="009520F7">
        <w:rPr>
          <w:rFonts w:cs="Times New Roman"/>
          <w:bCs/>
          <w:szCs w:val="24"/>
        </w:rPr>
        <w:t>construction default were amended by decreasing the cure period for failing to comply with a material term and condition, adding failure to submit a timely progress report, and decreasing the time to cure a failure to meeting a construction milestone date.</w:t>
      </w:r>
    </w:p>
    <w:p w14:paraId="66175313" w14:textId="1A27C4B4" w:rsidR="00FD71D5" w:rsidRPr="009520F7" w:rsidRDefault="00FD71D5" w:rsidP="009520F7">
      <w:pPr>
        <w:autoSpaceDE w:val="0"/>
        <w:autoSpaceDN w:val="0"/>
        <w:adjustRightInd w:val="0"/>
        <w:spacing w:line="480" w:lineRule="auto"/>
        <w:ind w:firstLine="720"/>
        <w:rPr>
          <w:rFonts w:cs="Times New Roman"/>
          <w:szCs w:val="24"/>
        </w:rPr>
      </w:pPr>
      <w:r w:rsidRPr="009520F7">
        <w:rPr>
          <w:rFonts w:cs="Times New Roman"/>
          <w:szCs w:val="24"/>
        </w:rPr>
        <w:t>These Amendments do not change the original pricing of Hecate-PPA-1 or Hecate-PPA-2</w:t>
      </w:r>
      <w:r w:rsidR="001E2816" w:rsidRPr="009520F7">
        <w:rPr>
          <w:rFonts w:cs="Times New Roman"/>
          <w:szCs w:val="24"/>
        </w:rPr>
        <w:t>, and</w:t>
      </w:r>
      <w:r w:rsidRPr="009520F7">
        <w:rPr>
          <w:rFonts w:cs="Times New Roman"/>
          <w:szCs w:val="24"/>
        </w:rPr>
        <w:t xml:space="preserve"> there will be no rate impact upon customers.</w:t>
      </w:r>
    </w:p>
    <w:p w14:paraId="14D6FD8E" w14:textId="33E16CC6" w:rsidR="00FD71D5" w:rsidRPr="009520F7" w:rsidRDefault="00FD71D5" w:rsidP="009520F7">
      <w:pPr>
        <w:autoSpaceDE w:val="0"/>
        <w:autoSpaceDN w:val="0"/>
        <w:adjustRightInd w:val="0"/>
        <w:spacing w:line="480" w:lineRule="auto"/>
        <w:ind w:firstLine="720"/>
        <w:rPr>
          <w:rFonts w:cs="Times New Roman"/>
          <w:szCs w:val="24"/>
        </w:rPr>
      </w:pPr>
      <w:r w:rsidRPr="009520F7">
        <w:rPr>
          <w:rFonts w:cs="Times New Roman"/>
          <w:szCs w:val="24"/>
          <w:u w:val="single"/>
        </w:rPr>
        <w:t>Procedure for Interested Persons to Contests EPE’s Amendments to the PPAs</w:t>
      </w:r>
      <w:r w:rsidRPr="009520F7">
        <w:rPr>
          <w:rFonts w:cs="Times New Roman"/>
          <w:szCs w:val="24"/>
        </w:rPr>
        <w:t xml:space="preserve">: </w:t>
      </w:r>
    </w:p>
    <w:p w14:paraId="16C9FC31" w14:textId="3501F2FA" w:rsidR="00FD71D5" w:rsidRPr="009520F7" w:rsidRDefault="00FD71D5" w:rsidP="009520F7">
      <w:pPr>
        <w:pStyle w:val="BodyText"/>
        <w:spacing w:before="4" w:line="480" w:lineRule="auto"/>
        <w:ind w:firstLine="720"/>
        <w:contextualSpacing/>
        <w:rPr>
          <w:rFonts w:ascii="Times New Roman" w:hAnsi="Times New Roman" w:cs="Times New Roman"/>
          <w:sz w:val="24"/>
          <w:szCs w:val="24"/>
        </w:rPr>
      </w:pPr>
      <w:r w:rsidRPr="009520F7">
        <w:rPr>
          <w:rFonts w:ascii="Times New Roman" w:hAnsi="Times New Roman" w:cs="Times New Roman"/>
          <w:sz w:val="24"/>
          <w:szCs w:val="24"/>
        </w:rPr>
        <w:t xml:space="preserve">Any interested person may inspect EPE’s Amended Application and the pre-filed testimonies, exhibits, pleadings and other documents filed for this case online the Commission’s website, </w:t>
      </w:r>
      <w:hyperlink r:id="rId8" w:history="1">
        <w:r w:rsidRPr="009520F7">
          <w:rPr>
            <w:rStyle w:val="Hyperlink"/>
            <w:rFonts w:ascii="Times New Roman" w:hAnsi="Times New Roman" w:cs="Times New Roman"/>
            <w:sz w:val="24"/>
            <w:szCs w:val="24"/>
          </w:rPr>
          <w:t>http://www.nmprc.state.nm.us</w:t>
        </w:r>
      </w:hyperlink>
      <w:r w:rsidRPr="009520F7">
        <w:rPr>
          <w:rFonts w:ascii="Times New Roman" w:hAnsi="Times New Roman" w:cs="Times New Roman"/>
          <w:sz w:val="24"/>
          <w:szCs w:val="24"/>
        </w:rPr>
        <w:t xml:space="preserve"> under “Case Lookup — eDocket,” or by making arrangements for an in-person viewing at EPE's offices, 201 N. Water, Las Cruces, New Mexico, telephone number (575) 526-5555, or at EPE's website </w:t>
      </w:r>
      <w:r w:rsidRPr="009520F7">
        <w:rPr>
          <w:rStyle w:val="Hyperlink"/>
          <w:rFonts w:ascii="Times New Roman" w:hAnsi="Times New Roman" w:cs="Times New Roman"/>
          <w:sz w:val="24"/>
          <w:szCs w:val="24"/>
        </w:rPr>
        <w:t>https://www.epelectric.com/company/regulatory</w:t>
      </w:r>
      <w:r w:rsidRPr="009520F7">
        <w:rPr>
          <w:rFonts w:ascii="Times New Roman" w:hAnsi="Times New Roman" w:cs="Times New Roman"/>
          <w:sz w:val="24"/>
          <w:szCs w:val="24"/>
        </w:rPr>
        <w:t>.  All inquiries or written comments concerning this matter should refer to Case No. 19-00099-UT and Case No. 19-00348-UT.</w:t>
      </w:r>
    </w:p>
    <w:p w14:paraId="5DDCA1D7" w14:textId="77777777" w:rsidR="00FD71D5" w:rsidRPr="009520F7" w:rsidRDefault="00FD71D5" w:rsidP="009520F7">
      <w:pPr>
        <w:pStyle w:val="BodyText"/>
        <w:tabs>
          <w:tab w:val="left" w:pos="720"/>
        </w:tabs>
        <w:spacing w:before="4"/>
        <w:contextualSpacing/>
        <w:rPr>
          <w:rFonts w:ascii="Times New Roman" w:hAnsi="Times New Roman" w:cs="Times New Roman"/>
          <w:sz w:val="24"/>
          <w:szCs w:val="24"/>
        </w:rPr>
      </w:pPr>
      <w:r w:rsidRPr="009520F7">
        <w:rPr>
          <w:rFonts w:ascii="Times New Roman" w:hAnsi="Times New Roman" w:cs="Times New Roman"/>
          <w:sz w:val="24"/>
          <w:szCs w:val="24"/>
        </w:rPr>
        <w:tab/>
        <w:t>The procedural schedule for this case is as follows:</w:t>
      </w:r>
    </w:p>
    <w:p w14:paraId="74399E3A" w14:textId="77777777" w:rsidR="00FD71D5" w:rsidRPr="009520F7" w:rsidRDefault="00FD71D5" w:rsidP="009520F7">
      <w:pPr>
        <w:pStyle w:val="BodyText"/>
        <w:tabs>
          <w:tab w:val="left" w:pos="720"/>
        </w:tabs>
        <w:spacing w:before="4"/>
        <w:contextualSpacing/>
        <w:rPr>
          <w:rFonts w:ascii="Times New Roman" w:hAnsi="Times New Roman" w:cs="Times New Roman"/>
          <w:sz w:val="24"/>
          <w:szCs w:val="24"/>
        </w:rPr>
      </w:pPr>
    </w:p>
    <w:p w14:paraId="61781134" w14:textId="20777E7D" w:rsidR="00FD71D5" w:rsidRPr="009520F7" w:rsidRDefault="00FD71D5" w:rsidP="009520F7">
      <w:pPr>
        <w:pStyle w:val="ListParagraph"/>
        <w:tabs>
          <w:tab w:val="left" w:pos="720"/>
          <w:tab w:val="left" w:pos="1440"/>
          <w:tab w:val="left" w:pos="2924"/>
        </w:tabs>
        <w:spacing w:line="496" w:lineRule="auto"/>
        <w:ind w:left="90"/>
        <w:rPr>
          <w:rFonts w:cs="Times New Roman"/>
          <w:szCs w:val="24"/>
        </w:rPr>
      </w:pPr>
      <w:r w:rsidRPr="009520F7">
        <w:rPr>
          <w:rFonts w:cs="Times New Roman"/>
          <w:szCs w:val="24"/>
        </w:rPr>
        <w:tab/>
        <w:t>1.</w:t>
      </w:r>
      <w:r w:rsidRPr="009520F7">
        <w:rPr>
          <w:rFonts w:cs="Times New Roman"/>
          <w:szCs w:val="24"/>
        </w:rPr>
        <w:tab/>
        <w:t xml:space="preserve">Any person desiring to intervene in the proceeding must file a Motion to Intervene pursuant to 1.2.2.23(A) and 1.2.2.23(B) NMAC on or </w:t>
      </w:r>
      <w:r w:rsidR="006962A3" w:rsidRPr="009E1335">
        <w:rPr>
          <w:rFonts w:cs="Times New Roman"/>
          <w:szCs w:val="24"/>
        </w:rPr>
        <w:t xml:space="preserve">before </w:t>
      </w:r>
      <w:r w:rsidR="00E06DA7" w:rsidRPr="009E1335">
        <w:rPr>
          <w:rFonts w:cs="Times New Roman"/>
          <w:szCs w:val="24"/>
        </w:rPr>
        <w:t>December 21, 2022.</w:t>
      </w:r>
    </w:p>
    <w:p w14:paraId="5638D4BA" w14:textId="77777777" w:rsidR="00FD71D5" w:rsidRPr="009520F7" w:rsidRDefault="00FD71D5" w:rsidP="009520F7">
      <w:pPr>
        <w:pStyle w:val="ListParagraph"/>
        <w:tabs>
          <w:tab w:val="left" w:pos="720"/>
          <w:tab w:val="left" w:pos="1440"/>
          <w:tab w:val="left" w:pos="2928"/>
        </w:tabs>
        <w:spacing w:line="480" w:lineRule="auto"/>
        <w:ind w:left="86"/>
        <w:rPr>
          <w:rFonts w:cs="Times New Roman"/>
          <w:szCs w:val="24"/>
        </w:rPr>
      </w:pPr>
      <w:r w:rsidRPr="009520F7">
        <w:rPr>
          <w:rFonts w:cs="Times New Roman"/>
          <w:szCs w:val="24"/>
        </w:rPr>
        <w:tab/>
        <w:t>2.</w:t>
      </w:r>
      <w:r w:rsidRPr="009520F7">
        <w:rPr>
          <w:rFonts w:cs="Times New Roman"/>
          <w:szCs w:val="24"/>
        </w:rPr>
        <w:tab/>
        <w:t xml:space="preserve">The Commission's Utility Division Staff shall, and any intervenor may, file direct testimony on or before December 21, 2022. </w:t>
      </w:r>
    </w:p>
    <w:p w14:paraId="5D45BF6E" w14:textId="77777777" w:rsidR="00FD71D5" w:rsidRPr="009520F7" w:rsidRDefault="00FD71D5" w:rsidP="009520F7">
      <w:pPr>
        <w:pStyle w:val="ListParagraph"/>
        <w:tabs>
          <w:tab w:val="left" w:pos="720"/>
          <w:tab w:val="left" w:pos="1440"/>
          <w:tab w:val="left" w:pos="2928"/>
        </w:tabs>
        <w:spacing w:line="480" w:lineRule="auto"/>
        <w:ind w:left="86"/>
        <w:rPr>
          <w:rFonts w:cs="Times New Roman"/>
          <w:szCs w:val="24"/>
        </w:rPr>
      </w:pPr>
      <w:r w:rsidRPr="009520F7">
        <w:rPr>
          <w:rFonts w:cs="Times New Roman"/>
          <w:szCs w:val="24"/>
        </w:rPr>
        <w:lastRenderedPageBreak/>
        <w:tab/>
        <w:t>3.</w:t>
      </w:r>
      <w:r w:rsidRPr="009520F7">
        <w:rPr>
          <w:rFonts w:cs="Times New Roman"/>
          <w:szCs w:val="24"/>
        </w:rPr>
        <w:tab/>
        <w:t>Any rebuttal testimony shall be filed on or before January 6, 2023.</w:t>
      </w:r>
    </w:p>
    <w:p w14:paraId="57CDD353" w14:textId="77777777" w:rsidR="00FD71D5" w:rsidRPr="009520F7" w:rsidRDefault="00FD71D5" w:rsidP="009520F7">
      <w:pPr>
        <w:pStyle w:val="ListParagraph"/>
        <w:tabs>
          <w:tab w:val="left" w:pos="720"/>
          <w:tab w:val="left" w:pos="1440"/>
          <w:tab w:val="left" w:pos="2928"/>
        </w:tabs>
        <w:spacing w:line="480" w:lineRule="auto"/>
        <w:ind w:left="86"/>
        <w:rPr>
          <w:rFonts w:cs="Times New Roman"/>
          <w:szCs w:val="24"/>
        </w:rPr>
      </w:pPr>
      <w:r w:rsidRPr="009520F7">
        <w:rPr>
          <w:rFonts w:cs="Times New Roman"/>
          <w:szCs w:val="24"/>
        </w:rPr>
        <w:tab/>
        <w:t>4.</w:t>
      </w:r>
      <w:r w:rsidRPr="009520F7">
        <w:rPr>
          <w:rFonts w:cs="Times New Roman"/>
          <w:szCs w:val="24"/>
        </w:rPr>
        <w:tab/>
        <w:t>Any person whose testimony has been filed shall attend the hearing and submit to examination under oath.</w:t>
      </w:r>
    </w:p>
    <w:p w14:paraId="0E30F45E" w14:textId="621F82D8" w:rsidR="00FD71D5" w:rsidRPr="009520F7" w:rsidRDefault="00FD71D5" w:rsidP="009520F7">
      <w:pPr>
        <w:autoSpaceDE w:val="0"/>
        <w:autoSpaceDN w:val="0"/>
        <w:adjustRightInd w:val="0"/>
        <w:spacing w:line="480" w:lineRule="auto"/>
        <w:ind w:firstLine="720"/>
        <w:contextualSpacing/>
        <w:rPr>
          <w:rFonts w:cs="Times New Roman"/>
          <w:bCs/>
          <w:szCs w:val="24"/>
        </w:rPr>
      </w:pPr>
      <w:r w:rsidRPr="009520F7">
        <w:rPr>
          <w:rFonts w:cs="Times New Roman"/>
          <w:bCs/>
          <w:szCs w:val="24"/>
        </w:rPr>
        <w:t>5.</w:t>
      </w:r>
      <w:r w:rsidRPr="009520F7">
        <w:rPr>
          <w:rFonts w:cs="Times New Roman"/>
          <w:bCs/>
          <w:szCs w:val="24"/>
        </w:rPr>
        <w:tab/>
        <w:t>A public hearing to hear and receive testimony, exhibits, arguments, and any other appropriate matters relevant to this proceeding is set to commence at 10:00 a.m. on February 6</w:t>
      </w:r>
      <w:r w:rsidR="00556FD4">
        <w:rPr>
          <w:rFonts w:cs="Times New Roman"/>
          <w:bCs/>
          <w:szCs w:val="24"/>
        </w:rPr>
        <w:t>,</w:t>
      </w:r>
      <w:r w:rsidRPr="009520F7">
        <w:rPr>
          <w:rFonts w:cs="Times New Roman"/>
          <w:bCs/>
          <w:szCs w:val="24"/>
        </w:rPr>
        <w:t xml:space="preserve"> 2023, and continue</w:t>
      </w:r>
      <w:r w:rsidR="00556FD4">
        <w:rPr>
          <w:rFonts w:cs="Times New Roman"/>
          <w:bCs/>
          <w:szCs w:val="24"/>
        </w:rPr>
        <w:t>,</w:t>
      </w:r>
      <w:r w:rsidRPr="009520F7">
        <w:rPr>
          <w:rFonts w:cs="Times New Roman"/>
          <w:bCs/>
          <w:szCs w:val="24"/>
        </w:rPr>
        <w:t xml:space="preserve"> if necessary, through February 7, 2023.  Such hearing may be vacated if deemed not required pursuant to NMSA 1978, Section 62-16-4(H), in which case the Commission will take public comment and dispose of this Amended Application at an Open Meeting.  The hearing will be held either in person at a location to be determined, or via the Zoom platform in whole or in part depending on potential COVID-19 restrictions and guidelines and related safety concerns.  The hearing will be held to hear and receive testimony, exhibits, arguments, and any other appropriate matters pertaining to the case; </w:t>
      </w:r>
    </w:p>
    <w:p w14:paraId="071B6C21" w14:textId="055A03A1" w:rsidR="00FD71D5" w:rsidRDefault="00FD71D5" w:rsidP="009520F7">
      <w:pPr>
        <w:autoSpaceDE w:val="0"/>
        <w:autoSpaceDN w:val="0"/>
        <w:adjustRightInd w:val="0"/>
        <w:spacing w:line="480" w:lineRule="auto"/>
        <w:ind w:firstLine="720"/>
        <w:contextualSpacing/>
        <w:rPr>
          <w:rFonts w:cs="Times New Roman"/>
          <w:szCs w:val="24"/>
        </w:rPr>
      </w:pPr>
      <w:bookmarkStart w:id="0" w:name="_Hlk121322338"/>
      <w:r w:rsidRPr="009E1335">
        <w:rPr>
          <w:rFonts w:cs="Times New Roman"/>
          <w:szCs w:val="24"/>
        </w:rPr>
        <w:t xml:space="preserve">Any interested person should contact the Commission </w:t>
      </w:r>
      <w:r w:rsidR="00E06DA7" w:rsidRPr="009E1335">
        <w:rPr>
          <w:rFonts w:cs="Times New Roman"/>
          <w:szCs w:val="24"/>
        </w:rPr>
        <w:t>at</w:t>
      </w:r>
      <w:r w:rsidR="00556FD4" w:rsidRPr="009E1335">
        <w:rPr>
          <w:rFonts w:cs="Times New Roman"/>
          <w:szCs w:val="24"/>
        </w:rPr>
        <w:t xml:space="preserve"> (505) 690-4191 </w:t>
      </w:r>
      <w:r w:rsidRPr="009E1335">
        <w:rPr>
          <w:rFonts w:cs="Times New Roman"/>
          <w:szCs w:val="24"/>
        </w:rPr>
        <w:t>for confirmation</w:t>
      </w:r>
      <w:r w:rsidRPr="009520F7">
        <w:rPr>
          <w:rFonts w:cs="Times New Roman"/>
          <w:szCs w:val="24"/>
        </w:rPr>
        <w:t xml:space="preserve"> of the hearing date, time, and place since hearings are occasionally rescheduled. </w:t>
      </w:r>
    </w:p>
    <w:p w14:paraId="67EDF14D" w14:textId="7BD917FA" w:rsidR="00733587" w:rsidRPr="00733587" w:rsidRDefault="00733587" w:rsidP="00733587">
      <w:pPr>
        <w:autoSpaceDE w:val="0"/>
        <w:autoSpaceDN w:val="0"/>
        <w:adjustRightInd w:val="0"/>
        <w:spacing w:line="480" w:lineRule="auto"/>
        <w:ind w:firstLine="720"/>
        <w:contextualSpacing/>
        <w:rPr>
          <w:rFonts w:eastAsia="Calibri" w:cs="Times New Roman"/>
          <w:szCs w:val="24"/>
        </w:rPr>
      </w:pPr>
      <w:r w:rsidRPr="00733587">
        <w:rPr>
          <w:rFonts w:eastAsia="Calibri" w:cs="Times New Roman"/>
          <w:szCs w:val="24"/>
        </w:rPr>
        <w:t xml:space="preserve">Interested persons who are not affiliated with a party or intervenor may submit written or oral comments pursuant to Rule 1.2.2.23(F) NMAC.  Oral comment shall be taken at the beginning of the public hearing on </w:t>
      </w:r>
      <w:r w:rsidRPr="009E1335">
        <w:rPr>
          <w:rFonts w:eastAsia="Calibri" w:cs="Times New Roman"/>
          <w:szCs w:val="24"/>
        </w:rPr>
        <w:t>February 6</w:t>
      </w:r>
      <w:r w:rsidRPr="00733587">
        <w:rPr>
          <w:rFonts w:eastAsia="Calibri" w:cs="Times New Roman"/>
          <w:szCs w:val="24"/>
        </w:rPr>
        <w:t xml:space="preserve">, 2023 and shall be limited to 3 minutes per commenter. </w:t>
      </w:r>
      <w:r w:rsidRPr="009E1335">
        <w:rPr>
          <w:rFonts w:eastAsia="Calibri" w:cs="Times New Roman"/>
          <w:szCs w:val="24"/>
        </w:rPr>
        <w:t xml:space="preserve"> As part of the public hearing, public comment will be taken via the Zoom platform. Therefore, p</w:t>
      </w:r>
      <w:r w:rsidRPr="00733587">
        <w:rPr>
          <w:rFonts w:eastAsia="Calibri" w:cs="Times New Roman"/>
          <w:szCs w:val="24"/>
        </w:rPr>
        <w:t xml:space="preserve">ersons wishing to make an oral comment must register in advance no later than 8:30 am MT on </w:t>
      </w:r>
      <w:r w:rsidRPr="009E1335">
        <w:rPr>
          <w:rFonts w:eastAsia="Calibri" w:cs="Times New Roman"/>
          <w:szCs w:val="24"/>
        </w:rPr>
        <w:t>February 6,</w:t>
      </w:r>
      <w:r w:rsidRPr="00733587">
        <w:rPr>
          <w:rFonts w:eastAsia="Calibri" w:cs="Times New Roman"/>
          <w:szCs w:val="24"/>
        </w:rPr>
        <w:t xml:space="preserve"> 2023 by e-mailing Ana Kippenbrock at </w:t>
      </w:r>
      <w:hyperlink r:id="rId9" w:history="1">
        <w:r w:rsidRPr="00733587">
          <w:rPr>
            <w:rFonts w:eastAsia="Calibri" w:cs="Times New Roman"/>
            <w:i/>
            <w:iCs/>
            <w:color w:val="0000FF"/>
            <w:szCs w:val="24"/>
            <w:u w:val="single"/>
          </w:rPr>
          <w:t>Ana.Kippenbrock@prc.nm.gov</w:t>
        </w:r>
      </w:hyperlink>
      <w:r w:rsidRPr="00733587">
        <w:rPr>
          <w:rFonts w:eastAsia="Calibri" w:cs="Times New Roman"/>
          <w:szCs w:val="24"/>
        </w:rPr>
        <w:t xml:space="preserve">.  Written comments may also be submitted before the Commission takes final action by sending the comment, which shall reference Case No. </w:t>
      </w:r>
      <w:r w:rsidRPr="009E1335">
        <w:rPr>
          <w:rFonts w:eastAsia="Calibri" w:cs="Times New Roman"/>
          <w:szCs w:val="24"/>
        </w:rPr>
        <w:t>19-00099-UT &amp; 19-00348-UT</w:t>
      </w:r>
      <w:r w:rsidRPr="00733587">
        <w:rPr>
          <w:rFonts w:eastAsia="Calibri" w:cs="Times New Roman"/>
          <w:szCs w:val="24"/>
        </w:rPr>
        <w:t xml:space="preserve">, to </w:t>
      </w:r>
      <w:r w:rsidRPr="00733587">
        <w:rPr>
          <w:rFonts w:eastAsia="Calibri" w:cs="Times New Roman"/>
          <w:i/>
          <w:iCs/>
          <w:color w:val="0000FF"/>
          <w:szCs w:val="24"/>
          <w:u w:val="single"/>
        </w:rPr>
        <w:t>prc.records@prc.nm.gov</w:t>
      </w:r>
      <w:r w:rsidRPr="00733587">
        <w:rPr>
          <w:rFonts w:eastAsia="Calibri" w:cs="Times New Roman"/>
          <w:szCs w:val="24"/>
        </w:rPr>
        <w:t xml:space="preserve">.  Pursuant to 1.2.2.23(F) NMAC, written and oral comments shall not be considered evidence.  </w:t>
      </w:r>
    </w:p>
    <w:bookmarkEnd w:id="0"/>
    <w:p w14:paraId="772C79AF" w14:textId="4484F401" w:rsidR="00FD71D5" w:rsidRPr="00733587" w:rsidRDefault="00FD71D5" w:rsidP="009520F7">
      <w:pPr>
        <w:pStyle w:val="BodyText"/>
        <w:spacing w:before="14" w:line="480" w:lineRule="auto"/>
        <w:ind w:firstLine="720"/>
        <w:contextualSpacing/>
        <w:rPr>
          <w:rFonts w:ascii="Times New Roman" w:hAnsi="Times New Roman" w:cs="Times New Roman"/>
          <w:strike/>
          <w:sz w:val="24"/>
          <w:szCs w:val="24"/>
        </w:rPr>
      </w:pPr>
      <w:r w:rsidRPr="009520F7">
        <w:rPr>
          <w:rFonts w:ascii="Times New Roman" w:hAnsi="Times New Roman" w:cs="Times New Roman"/>
          <w:sz w:val="24"/>
          <w:szCs w:val="24"/>
        </w:rPr>
        <w:t xml:space="preserve">The Commission's Utility Division Procedures 1.2.2 NMAC apply to this case, except as modified by Order of the Commission or the Hearing Examiner, and they are available online at </w:t>
      </w:r>
      <w:bookmarkStart w:id="1" w:name="_Hlk119932550"/>
      <w:r w:rsidR="00733587" w:rsidRPr="009E1335">
        <w:rPr>
          <w:rFonts w:ascii="Times New Roman" w:hAnsi="Times New Roman"/>
          <w:sz w:val="24"/>
          <w:szCs w:val="24"/>
        </w:rPr>
        <w:fldChar w:fldCharType="begin"/>
      </w:r>
      <w:r w:rsidR="00733587" w:rsidRPr="009E1335">
        <w:rPr>
          <w:rFonts w:ascii="Times New Roman" w:hAnsi="Times New Roman"/>
          <w:sz w:val="24"/>
          <w:szCs w:val="24"/>
        </w:rPr>
        <w:instrText xml:space="preserve"> HYPERLINK "</w:instrText>
      </w:r>
      <w:r w:rsidR="00733587" w:rsidRPr="009E1335">
        <w:rPr>
          <w:rFonts w:ascii="Times New Roman" w:hAnsi="Times New Roman"/>
          <w:sz w:val="24"/>
          <w:szCs w:val="24"/>
        </w:rPr>
        <w:instrText>https://nmonesource.com/nmos/nmac/en/nav_date.do</w:instrText>
      </w:r>
      <w:r w:rsidR="00733587" w:rsidRPr="009E1335">
        <w:rPr>
          <w:rFonts w:ascii="Times New Roman" w:hAnsi="Times New Roman"/>
          <w:sz w:val="24"/>
          <w:szCs w:val="24"/>
        </w:rPr>
        <w:instrText xml:space="preserve">" </w:instrText>
      </w:r>
      <w:r w:rsidR="00733587" w:rsidRPr="009E1335">
        <w:rPr>
          <w:rFonts w:ascii="Times New Roman" w:hAnsi="Times New Roman"/>
          <w:sz w:val="24"/>
          <w:szCs w:val="24"/>
        </w:rPr>
        <w:fldChar w:fldCharType="separate"/>
      </w:r>
      <w:r w:rsidR="00733587" w:rsidRPr="009E1335">
        <w:rPr>
          <w:rStyle w:val="Hyperlink"/>
          <w:rFonts w:ascii="Times New Roman" w:hAnsi="Times New Roman"/>
          <w:sz w:val="24"/>
          <w:szCs w:val="24"/>
        </w:rPr>
        <w:t>https://nmonesource.com/nmos/</w:t>
      </w:r>
      <w:r w:rsidR="00733587" w:rsidRPr="009E1335">
        <w:rPr>
          <w:rStyle w:val="Hyperlink"/>
          <w:rFonts w:ascii="Times New Roman" w:hAnsi="Times New Roman"/>
          <w:sz w:val="24"/>
          <w:szCs w:val="24"/>
        </w:rPr>
        <w:t>nmac/en/nav_date.do</w:t>
      </w:r>
      <w:bookmarkEnd w:id="1"/>
      <w:r w:rsidR="00733587" w:rsidRPr="009E1335">
        <w:rPr>
          <w:rFonts w:ascii="Times New Roman" w:hAnsi="Times New Roman"/>
          <w:sz w:val="24"/>
          <w:szCs w:val="24"/>
        </w:rPr>
        <w:fldChar w:fldCharType="end"/>
      </w:r>
    </w:p>
    <w:p w14:paraId="00451BAD" w14:textId="77777777" w:rsidR="00FD71D5" w:rsidRPr="009520F7" w:rsidRDefault="00FD71D5" w:rsidP="009520F7">
      <w:pPr>
        <w:pStyle w:val="BodyText"/>
        <w:tabs>
          <w:tab w:val="left" w:pos="0"/>
        </w:tabs>
        <w:spacing w:before="11" w:line="480" w:lineRule="auto"/>
        <w:ind w:firstLine="720"/>
        <w:contextualSpacing/>
        <w:rPr>
          <w:rFonts w:ascii="Times New Roman" w:hAnsi="Times New Roman" w:cs="Times New Roman"/>
          <w:sz w:val="24"/>
          <w:szCs w:val="24"/>
        </w:rPr>
      </w:pPr>
      <w:r w:rsidRPr="009520F7">
        <w:rPr>
          <w:rFonts w:ascii="Times New Roman" w:hAnsi="Times New Roman" w:cs="Times New Roman"/>
          <w:sz w:val="24"/>
          <w:szCs w:val="24"/>
        </w:rPr>
        <w:t xml:space="preserve">Anyone filing pleadings, documents, or testimony in this case shall serve copies thereof on all parties of record and Staff via email.  Any such filings shall also be sent to the Hearing Examiner by email at </w:t>
      </w:r>
      <w:hyperlink r:id="rId10" w:history="1">
        <w:r w:rsidRPr="009520F7">
          <w:rPr>
            <w:rStyle w:val="Hyperlink"/>
            <w:rFonts w:ascii="Times New Roman" w:hAnsi="Times New Roman" w:cs="Times New Roman"/>
            <w:sz w:val="24"/>
            <w:szCs w:val="24"/>
          </w:rPr>
          <w:t>angelica.allen@prc.nm.gov</w:t>
        </w:r>
      </w:hyperlink>
      <w:r w:rsidRPr="009520F7">
        <w:rPr>
          <w:rFonts w:ascii="Times New Roman" w:hAnsi="Times New Roman" w:cs="Times New Roman"/>
          <w:sz w:val="24"/>
          <w:szCs w:val="24"/>
        </w:rPr>
        <w:t>. All pleadings shall be emailed on the date they are filed with the Commission.</w:t>
      </w:r>
    </w:p>
    <w:p w14:paraId="1104B801" w14:textId="206018CD" w:rsidR="00FD71D5" w:rsidRDefault="00FD71D5" w:rsidP="009520F7">
      <w:pPr>
        <w:pStyle w:val="BodyText"/>
        <w:tabs>
          <w:tab w:val="left" w:pos="720"/>
        </w:tabs>
        <w:spacing w:before="14" w:line="480" w:lineRule="auto"/>
        <w:ind w:right="187" w:hanging="14"/>
        <w:contextualSpacing/>
        <w:rPr>
          <w:rFonts w:ascii="Times New Roman" w:hAnsi="Times New Roman" w:cs="Times New Roman"/>
          <w:sz w:val="24"/>
          <w:szCs w:val="24"/>
        </w:rPr>
      </w:pPr>
      <w:r w:rsidRPr="009520F7">
        <w:rPr>
          <w:rFonts w:ascii="Times New Roman" w:hAnsi="Times New Roman" w:cs="Times New Roman"/>
          <w:sz w:val="24"/>
          <w:szCs w:val="24"/>
        </w:rPr>
        <w:tab/>
      </w:r>
      <w:r w:rsidRPr="009520F7">
        <w:rPr>
          <w:rFonts w:ascii="Times New Roman" w:hAnsi="Times New Roman" w:cs="Times New Roman"/>
          <w:sz w:val="24"/>
          <w:szCs w:val="24"/>
        </w:rPr>
        <w:tab/>
        <w:t>The procedural dates and requirements provided herein are subject to further order of the Commission or Hearing Examiner.</w:t>
      </w:r>
    </w:p>
    <w:p w14:paraId="6581A1D9" w14:textId="77777777" w:rsidR="00B17907" w:rsidRPr="007B1784" w:rsidRDefault="00B17907" w:rsidP="00B17907">
      <w:pPr>
        <w:pStyle w:val="StyleBodyTextLinespacingMultiple165li"/>
        <w:spacing w:after="240" w:line="240" w:lineRule="auto"/>
        <w:ind w:firstLine="0"/>
        <w:jc w:val="center"/>
        <w:rPr>
          <w:rFonts w:ascii="Times New Roman" w:hAnsi="Times New Roman"/>
          <w:b/>
          <w:bCs/>
          <w:kern w:val="10"/>
          <w:sz w:val="24"/>
          <w:u w:val="single"/>
        </w:rPr>
      </w:pPr>
      <w:r w:rsidRPr="007B1784">
        <w:rPr>
          <w:rFonts w:ascii="Times New Roman" w:hAnsi="Times New Roman"/>
          <w:b/>
          <w:bCs/>
          <w:kern w:val="10"/>
          <w:sz w:val="24"/>
          <w:u w:val="single"/>
        </w:rPr>
        <w:t>PERSONS WITH DISABILITIES</w:t>
      </w:r>
    </w:p>
    <w:p w14:paraId="392AF6CC" w14:textId="7A0DFAC3" w:rsidR="00B17907" w:rsidRPr="00E82B07" w:rsidRDefault="00B17907" w:rsidP="00B17907">
      <w:pPr>
        <w:pStyle w:val="StyleBodyTextLinespacingMultiple165li"/>
        <w:tabs>
          <w:tab w:val="left" w:pos="1224"/>
          <w:tab w:val="left" w:pos="1260"/>
        </w:tabs>
        <w:spacing w:line="480" w:lineRule="auto"/>
        <w:rPr>
          <w:rFonts w:ascii="Times New Roman" w:hAnsi="Times New Roman"/>
          <w:sz w:val="24"/>
          <w:szCs w:val="24"/>
        </w:rPr>
      </w:pPr>
      <w:r w:rsidRPr="007B1784">
        <w:rPr>
          <w:rFonts w:ascii="Times New Roman" w:hAnsi="Times New Roman"/>
          <w:caps/>
          <w:kern w:val="10"/>
          <w:sz w:val="24"/>
        </w:rPr>
        <w:t>Any person with a disability requiring special assistance to participate in this proceeding should contact the Commission at</w:t>
      </w:r>
      <w:r w:rsidRPr="007B1784">
        <w:rPr>
          <w:rFonts w:ascii="Times New Roman" w:hAnsi="Times New Roman"/>
          <w:kern w:val="10"/>
          <w:sz w:val="24"/>
        </w:rPr>
        <w:t xml:space="preserve"> (505) 690-4191 TO REQUEST SUCH ASSISTANCE </w:t>
      </w:r>
      <w:r w:rsidRPr="007B1784">
        <w:rPr>
          <w:rFonts w:ascii="Times New Roman" w:hAnsi="Times New Roman"/>
          <w:caps/>
          <w:kern w:val="10"/>
          <w:sz w:val="24"/>
        </w:rPr>
        <w:t>at least 24 hours prior to the start of the public hearing</w:t>
      </w:r>
      <w:r w:rsidRPr="007B1784">
        <w:rPr>
          <w:rFonts w:ascii="Times New Roman" w:hAnsi="Times New Roman"/>
          <w:kern w:val="10"/>
          <w:sz w:val="24"/>
        </w:rPr>
        <w:t>.</w:t>
      </w:r>
    </w:p>
    <w:p w14:paraId="7AF2F03C" w14:textId="0F419F20" w:rsidR="00FD71D5" w:rsidRDefault="002E40D4" w:rsidP="00FD71D5">
      <w:pPr>
        <w:autoSpaceDE w:val="0"/>
        <w:autoSpaceDN w:val="0"/>
        <w:adjustRightInd w:val="0"/>
        <w:ind w:firstLine="720"/>
        <w:rPr>
          <w:rFonts w:ascii="TimesNewRomanPSMT" w:hAnsi="TimesNewRomanPSMT" w:cs="TimesNewRomanPSMT"/>
          <w:szCs w:val="24"/>
        </w:rPr>
      </w:pPr>
      <w:r>
        <w:rPr>
          <w:rFonts w:ascii="TimesNewRomanPS-BoldMT" w:hAnsi="TimesNewRomanPS-BoldMT" w:cs="TimesNewRomanPS-BoldMT"/>
          <w:b/>
          <w:bCs/>
          <w:szCs w:val="24"/>
        </w:rPr>
        <w:t xml:space="preserve">ISSUED </w:t>
      </w:r>
      <w:r w:rsidR="00FD71D5">
        <w:rPr>
          <w:rFonts w:ascii="TimesNewRomanPSMT" w:hAnsi="TimesNewRomanPSMT" w:cs="TimesNewRomanPSMT"/>
          <w:szCs w:val="24"/>
        </w:rPr>
        <w:t xml:space="preserve">at Santa Fe, New Mexico this </w:t>
      </w:r>
      <w:r w:rsidR="00B416F0">
        <w:rPr>
          <w:rFonts w:ascii="TimesNewRomanPSMT" w:hAnsi="TimesNewRomanPSMT" w:cs="TimesNewRomanPSMT"/>
          <w:szCs w:val="24"/>
        </w:rPr>
        <w:t>7</w:t>
      </w:r>
      <w:r w:rsidR="00B17907">
        <w:rPr>
          <w:rFonts w:ascii="TimesNewRomanPSMT" w:hAnsi="TimesNewRomanPSMT" w:cs="TimesNewRomanPSMT"/>
          <w:szCs w:val="24"/>
        </w:rPr>
        <w:t>th</w:t>
      </w:r>
      <w:r w:rsidR="00FD71D5">
        <w:rPr>
          <w:rFonts w:ascii="TimesNewRomanPSMT" w:hAnsi="TimesNewRomanPSMT" w:cs="TimesNewRomanPSMT"/>
          <w:szCs w:val="24"/>
        </w:rPr>
        <w:t xml:space="preserve"> day of</w:t>
      </w:r>
      <w:r w:rsidR="00B17907">
        <w:rPr>
          <w:rFonts w:ascii="TimesNewRomanPSMT" w:hAnsi="TimesNewRomanPSMT" w:cs="TimesNewRomanPSMT"/>
          <w:szCs w:val="24"/>
        </w:rPr>
        <w:t xml:space="preserve"> December</w:t>
      </w:r>
      <w:r w:rsidR="00FD71D5">
        <w:rPr>
          <w:rFonts w:ascii="TimesNewRomanPSMT" w:hAnsi="TimesNewRomanPSMT" w:cs="TimesNewRomanPSMT"/>
          <w:szCs w:val="24"/>
        </w:rPr>
        <w:t xml:space="preserve"> 2022.</w:t>
      </w:r>
    </w:p>
    <w:p w14:paraId="54F72D19" w14:textId="77777777" w:rsidR="00FD71D5" w:rsidRDefault="00FD71D5" w:rsidP="00FD71D5">
      <w:pPr>
        <w:autoSpaceDE w:val="0"/>
        <w:autoSpaceDN w:val="0"/>
        <w:adjustRightInd w:val="0"/>
        <w:ind w:firstLine="720"/>
        <w:rPr>
          <w:rFonts w:ascii="TimesNewRomanPSMT" w:hAnsi="TimesNewRomanPSMT" w:cs="TimesNewRomanPSMT"/>
          <w:szCs w:val="24"/>
        </w:rPr>
      </w:pPr>
    </w:p>
    <w:p w14:paraId="298A094D" w14:textId="77777777" w:rsidR="00FD71D5" w:rsidRDefault="00FD71D5" w:rsidP="00FD71D5">
      <w:pPr>
        <w:autoSpaceDE w:val="0"/>
        <w:autoSpaceDN w:val="0"/>
        <w:adjustRightInd w:val="0"/>
        <w:jc w:val="center"/>
        <w:rPr>
          <w:rFonts w:ascii="TimesNewRomanPS-BoldMT" w:hAnsi="TimesNewRomanPS-BoldMT" w:cs="TimesNewRomanPS-BoldMT"/>
          <w:b/>
          <w:bCs/>
          <w:szCs w:val="24"/>
        </w:rPr>
      </w:pPr>
      <w:r>
        <w:rPr>
          <w:rFonts w:ascii="TimesNewRomanPS-BoldMT" w:hAnsi="TimesNewRomanPS-BoldMT" w:cs="TimesNewRomanPS-BoldMT"/>
          <w:b/>
          <w:bCs/>
          <w:szCs w:val="24"/>
        </w:rPr>
        <w:t>NEW MEXICO PUBLIC REGULATION COMMISSION</w:t>
      </w:r>
    </w:p>
    <w:p w14:paraId="2F93940F" w14:textId="77777777" w:rsidR="00FD71D5" w:rsidRDefault="00FD71D5" w:rsidP="00FD71D5">
      <w:pPr>
        <w:rPr>
          <w:bCs/>
        </w:rPr>
      </w:pPr>
    </w:p>
    <w:p w14:paraId="4BA3C90F" w14:textId="0DDAA04A" w:rsidR="00FD71D5" w:rsidRDefault="00B17907" w:rsidP="00FD71D5">
      <w:pPr>
        <w:rPr>
          <w:bCs/>
        </w:rPr>
      </w:pPr>
      <w:r>
        <w:rPr>
          <w:bCs/>
        </w:rPr>
        <w:tab/>
      </w:r>
      <w:r>
        <w:rPr>
          <w:bCs/>
        </w:rPr>
        <w:tab/>
      </w:r>
      <w:r>
        <w:rPr>
          <w:bCs/>
        </w:rPr>
        <w:tab/>
      </w:r>
      <w:r w:rsidRPr="002020D1">
        <w:rPr>
          <w:noProof/>
          <w:u w:val="single"/>
        </w:rPr>
        <w:drawing>
          <wp:inline distT="0" distB="0" distL="0" distR="0" wp14:anchorId="22B4F83A" wp14:editId="13A38F35">
            <wp:extent cx="1657350" cy="6481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5257" cy="655188"/>
                    </a:xfrm>
                    <a:prstGeom prst="rect">
                      <a:avLst/>
                    </a:prstGeom>
                    <a:noFill/>
                    <a:ln>
                      <a:noFill/>
                    </a:ln>
                  </pic:spPr>
                </pic:pic>
              </a:graphicData>
            </a:graphic>
          </wp:inline>
        </w:drawing>
      </w:r>
    </w:p>
    <w:p w14:paraId="53E581B1" w14:textId="0798D972" w:rsidR="00B17907" w:rsidRPr="00B17907" w:rsidRDefault="00B17907" w:rsidP="00B17907">
      <w:pPr>
        <w:pStyle w:val="Heading2"/>
        <w:rPr>
          <w:rFonts w:ascii="Times New Roman" w:eastAsia="Arial" w:hAnsi="Times New Roman" w:cs="Times New Roman"/>
          <w:b/>
          <w:bCs/>
          <w:color w:val="auto"/>
          <w:sz w:val="24"/>
          <w:szCs w:val="24"/>
          <w:lang w:val="es-ES"/>
        </w:rPr>
      </w:pPr>
      <w:r>
        <w:rPr>
          <w:bCs/>
        </w:rPr>
        <w:tab/>
      </w:r>
      <w:r>
        <w:rPr>
          <w:bCs/>
        </w:rPr>
        <w:tab/>
      </w:r>
      <w:r>
        <w:rPr>
          <w:bCs/>
        </w:rPr>
        <w:tab/>
      </w:r>
      <w:r w:rsidRPr="00B17907">
        <w:rPr>
          <w:rFonts w:ascii="Times New Roman" w:eastAsia="Arial" w:hAnsi="Times New Roman" w:cs="Times New Roman"/>
          <w:b/>
          <w:bCs/>
          <w:color w:val="auto"/>
          <w:sz w:val="24"/>
          <w:szCs w:val="24"/>
          <w:lang w:val="es-ES"/>
        </w:rPr>
        <w:t>Angelica Anaya Allen</w:t>
      </w:r>
    </w:p>
    <w:p w14:paraId="72EE231F" w14:textId="712DD2C5" w:rsidR="00FD71D5" w:rsidRDefault="00B17907" w:rsidP="00C94894">
      <w:pPr>
        <w:widowControl w:val="0"/>
        <w:outlineLvl w:val="1"/>
        <w:rPr>
          <w:bCs/>
        </w:rPr>
      </w:pPr>
      <w:r w:rsidRPr="00B17907">
        <w:rPr>
          <w:rFonts w:eastAsia="Arial" w:cs="Times New Roman"/>
          <w:b/>
          <w:bCs/>
          <w:szCs w:val="24"/>
          <w:lang w:val="es-ES"/>
        </w:rPr>
        <w:tab/>
      </w:r>
      <w:r w:rsidRPr="00B17907">
        <w:rPr>
          <w:rFonts w:eastAsia="Arial" w:cs="Times New Roman"/>
          <w:b/>
          <w:bCs/>
          <w:szCs w:val="24"/>
          <w:lang w:val="es-ES"/>
        </w:rPr>
        <w:tab/>
      </w:r>
      <w:r w:rsidRPr="00B17907">
        <w:rPr>
          <w:rFonts w:eastAsia="Arial" w:cs="Times New Roman"/>
          <w:b/>
          <w:bCs/>
          <w:szCs w:val="24"/>
          <w:lang w:val="es-ES"/>
        </w:rPr>
        <w:tab/>
        <w:t>Hearing Examiner</w:t>
      </w:r>
    </w:p>
    <w:p w14:paraId="34C656FF" w14:textId="77777777" w:rsidR="00FD71D5" w:rsidRDefault="00FD71D5" w:rsidP="00FD71D5">
      <w:pPr>
        <w:rPr>
          <w:bCs/>
        </w:rPr>
      </w:pPr>
    </w:p>
    <w:p w14:paraId="38043C7E" w14:textId="77777777" w:rsidR="00FD71D5" w:rsidRDefault="00FD71D5" w:rsidP="00FD71D5">
      <w:pPr>
        <w:rPr>
          <w:bCs/>
        </w:rPr>
      </w:pPr>
    </w:p>
    <w:p w14:paraId="15918F09" w14:textId="77777777" w:rsidR="00FD71D5" w:rsidRDefault="00FD71D5" w:rsidP="00FD71D5">
      <w:pPr>
        <w:rPr>
          <w:bCs/>
        </w:rPr>
      </w:pPr>
    </w:p>
    <w:sectPr w:rsidR="00FD71D5" w:rsidSect="0059133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F69A9" w14:textId="77777777" w:rsidR="0059133B" w:rsidRDefault="0059133B" w:rsidP="0059133B">
      <w:r>
        <w:separator/>
      </w:r>
    </w:p>
  </w:endnote>
  <w:endnote w:type="continuationSeparator" w:id="0">
    <w:p w14:paraId="5220571A" w14:textId="77777777" w:rsidR="0059133B" w:rsidRDefault="0059133B" w:rsidP="0059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59DB" w14:textId="77777777" w:rsidR="006962A3" w:rsidRDefault="00696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90467"/>
      <w:docPartObj>
        <w:docPartGallery w:val="Page Numbers (Bottom of Page)"/>
        <w:docPartUnique/>
      </w:docPartObj>
    </w:sdtPr>
    <w:sdtEndPr>
      <w:rPr>
        <w:noProof/>
      </w:rPr>
    </w:sdtEndPr>
    <w:sdtContent>
      <w:p w14:paraId="5E16AFDD" w14:textId="25C8B174" w:rsidR="002F222E" w:rsidRDefault="002F22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7BFE8B" w14:textId="77777777" w:rsidR="0059133B" w:rsidRPr="00DA3586" w:rsidRDefault="00591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DABF" w14:textId="40DFA0C2" w:rsidR="0059133B" w:rsidRPr="00DA3586" w:rsidRDefault="0059133B" w:rsidP="0059133B">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94CC" w14:textId="77777777" w:rsidR="0059133B" w:rsidRDefault="0059133B" w:rsidP="0059133B">
      <w:pPr>
        <w:rPr>
          <w:noProof/>
        </w:rPr>
      </w:pPr>
      <w:r>
        <w:rPr>
          <w:noProof/>
        </w:rPr>
        <w:separator/>
      </w:r>
    </w:p>
  </w:footnote>
  <w:footnote w:type="continuationSeparator" w:id="0">
    <w:p w14:paraId="45E18E34" w14:textId="77777777" w:rsidR="0059133B" w:rsidRDefault="0059133B" w:rsidP="0059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35F7" w14:textId="77777777" w:rsidR="006962A3" w:rsidRDefault="00696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DE16" w14:textId="77777777" w:rsidR="006962A3" w:rsidRDefault="00696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F236" w14:textId="77777777" w:rsidR="006962A3" w:rsidRDefault="00696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2D07"/>
    <w:multiLevelType w:val="hybridMultilevel"/>
    <w:tmpl w:val="992A5D2C"/>
    <w:lvl w:ilvl="0" w:tplc="972600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CC20E69"/>
    <w:multiLevelType w:val="hybridMultilevel"/>
    <w:tmpl w:val="C75A60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441341">
    <w:abstractNumId w:val="1"/>
  </w:num>
  <w:num w:numId="2" w16cid:durableId="170756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3B"/>
    <w:rsid w:val="00041F8F"/>
    <w:rsid w:val="000C7169"/>
    <w:rsid w:val="000E59E2"/>
    <w:rsid w:val="00120477"/>
    <w:rsid w:val="00142B37"/>
    <w:rsid w:val="001E2816"/>
    <w:rsid w:val="002E40D4"/>
    <w:rsid w:val="002F222E"/>
    <w:rsid w:val="00364624"/>
    <w:rsid w:val="003C7F47"/>
    <w:rsid w:val="004A338B"/>
    <w:rsid w:val="004E65BE"/>
    <w:rsid w:val="00534A47"/>
    <w:rsid w:val="00556FD4"/>
    <w:rsid w:val="0059133B"/>
    <w:rsid w:val="005944B8"/>
    <w:rsid w:val="005E2A4E"/>
    <w:rsid w:val="006962A3"/>
    <w:rsid w:val="006D2CB8"/>
    <w:rsid w:val="00733587"/>
    <w:rsid w:val="00796FF3"/>
    <w:rsid w:val="008565F7"/>
    <w:rsid w:val="008B1171"/>
    <w:rsid w:val="009520F7"/>
    <w:rsid w:val="00990D3C"/>
    <w:rsid w:val="009E1335"/>
    <w:rsid w:val="009E350C"/>
    <w:rsid w:val="00AE0AAF"/>
    <w:rsid w:val="00B17907"/>
    <w:rsid w:val="00B416F0"/>
    <w:rsid w:val="00C6742E"/>
    <w:rsid w:val="00C73D66"/>
    <w:rsid w:val="00C94894"/>
    <w:rsid w:val="00CA6FF6"/>
    <w:rsid w:val="00D16EE5"/>
    <w:rsid w:val="00D300FE"/>
    <w:rsid w:val="00D74212"/>
    <w:rsid w:val="00DA3586"/>
    <w:rsid w:val="00E06DA7"/>
    <w:rsid w:val="00E6384C"/>
    <w:rsid w:val="00FC492F"/>
    <w:rsid w:val="00FD71D5"/>
    <w:rsid w:val="00FE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5B8A3"/>
  <w15:chartTrackingRefBased/>
  <w15:docId w15:val="{F91F3E08-6CEB-4F92-B6D6-3DE8E165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33B"/>
    <w:pPr>
      <w:spacing w:after="0" w:line="240" w:lineRule="auto"/>
    </w:pPr>
    <w:rPr>
      <w:rFonts w:ascii="Times New Roman" w:hAnsi="Times New Roman"/>
      <w:sz w:val="24"/>
      <w:szCs w:val="23"/>
    </w:rPr>
  </w:style>
  <w:style w:type="paragraph" w:styleId="Heading2">
    <w:name w:val="heading 2"/>
    <w:basedOn w:val="Normal"/>
    <w:next w:val="Normal"/>
    <w:link w:val="Heading2Char"/>
    <w:uiPriority w:val="9"/>
    <w:semiHidden/>
    <w:unhideWhenUsed/>
    <w:qFormat/>
    <w:rsid w:val="00B1790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33B"/>
    <w:pPr>
      <w:spacing w:after="0" w:line="240" w:lineRule="auto"/>
    </w:pPr>
    <w:rPr>
      <w:rFonts w:ascii="Times New Roman" w:hAnsi="Times New Roman"/>
      <w:sz w:val="24"/>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133B"/>
    <w:pPr>
      <w:jc w:val="center"/>
    </w:pPr>
    <w:rPr>
      <w:b/>
      <w:u w:val="single"/>
    </w:rPr>
  </w:style>
  <w:style w:type="character" w:customStyle="1" w:styleId="TitleChar">
    <w:name w:val="Title Char"/>
    <w:basedOn w:val="DefaultParagraphFont"/>
    <w:link w:val="Title"/>
    <w:uiPriority w:val="10"/>
    <w:rsid w:val="0059133B"/>
    <w:rPr>
      <w:rFonts w:ascii="Times New Roman" w:hAnsi="Times New Roman"/>
      <w:b/>
      <w:sz w:val="24"/>
      <w:szCs w:val="23"/>
      <w:u w:val="single"/>
    </w:rPr>
  </w:style>
  <w:style w:type="paragraph" w:styleId="Header">
    <w:name w:val="header"/>
    <w:basedOn w:val="Normal"/>
    <w:link w:val="HeaderChar"/>
    <w:uiPriority w:val="99"/>
    <w:unhideWhenUsed/>
    <w:rsid w:val="0059133B"/>
    <w:pPr>
      <w:tabs>
        <w:tab w:val="center" w:pos="4680"/>
        <w:tab w:val="right" w:pos="9360"/>
      </w:tabs>
    </w:pPr>
  </w:style>
  <w:style w:type="character" w:customStyle="1" w:styleId="HeaderChar">
    <w:name w:val="Header Char"/>
    <w:basedOn w:val="DefaultParagraphFont"/>
    <w:link w:val="Header"/>
    <w:uiPriority w:val="99"/>
    <w:rsid w:val="0059133B"/>
    <w:rPr>
      <w:rFonts w:ascii="Times New Roman" w:hAnsi="Times New Roman"/>
      <w:sz w:val="24"/>
      <w:szCs w:val="23"/>
    </w:rPr>
  </w:style>
  <w:style w:type="paragraph" w:styleId="Footer">
    <w:name w:val="footer"/>
    <w:basedOn w:val="Normal"/>
    <w:link w:val="FooterChar"/>
    <w:uiPriority w:val="99"/>
    <w:unhideWhenUsed/>
    <w:rsid w:val="0059133B"/>
    <w:pPr>
      <w:tabs>
        <w:tab w:val="center" w:pos="4680"/>
        <w:tab w:val="right" w:pos="9360"/>
      </w:tabs>
    </w:pPr>
  </w:style>
  <w:style w:type="character" w:customStyle="1" w:styleId="FooterChar">
    <w:name w:val="Footer Char"/>
    <w:basedOn w:val="DefaultParagraphFont"/>
    <w:link w:val="Footer"/>
    <w:uiPriority w:val="99"/>
    <w:rsid w:val="0059133B"/>
    <w:rPr>
      <w:rFonts w:ascii="Times New Roman" w:hAnsi="Times New Roman"/>
      <w:sz w:val="24"/>
      <w:szCs w:val="23"/>
    </w:rPr>
  </w:style>
  <w:style w:type="paragraph" w:styleId="ListParagraph">
    <w:name w:val="List Paragraph"/>
    <w:basedOn w:val="Normal"/>
    <w:uiPriority w:val="34"/>
    <w:qFormat/>
    <w:rsid w:val="005944B8"/>
    <w:pPr>
      <w:ind w:left="720"/>
      <w:contextualSpacing/>
    </w:pPr>
  </w:style>
  <w:style w:type="paragraph" w:customStyle="1" w:styleId="TableParagraph">
    <w:name w:val="Table Paragraph"/>
    <w:basedOn w:val="Normal"/>
    <w:uiPriority w:val="1"/>
    <w:qFormat/>
    <w:rsid w:val="000C7169"/>
    <w:pPr>
      <w:autoSpaceDE w:val="0"/>
      <w:autoSpaceDN w:val="0"/>
      <w:adjustRightInd w:val="0"/>
    </w:pPr>
    <w:rPr>
      <w:rFonts w:cs="Times New Roman"/>
      <w:szCs w:val="24"/>
    </w:rPr>
  </w:style>
  <w:style w:type="character" w:styleId="Hyperlink">
    <w:name w:val="Hyperlink"/>
    <w:basedOn w:val="DefaultParagraphFont"/>
    <w:uiPriority w:val="99"/>
    <w:unhideWhenUsed/>
    <w:rsid w:val="009E350C"/>
    <w:rPr>
      <w:color w:val="0563C1" w:themeColor="hyperlink"/>
      <w:u w:val="single"/>
    </w:rPr>
  </w:style>
  <w:style w:type="character" w:styleId="UnresolvedMention">
    <w:name w:val="Unresolved Mention"/>
    <w:basedOn w:val="DefaultParagraphFont"/>
    <w:uiPriority w:val="99"/>
    <w:semiHidden/>
    <w:unhideWhenUsed/>
    <w:rsid w:val="009E350C"/>
    <w:rPr>
      <w:color w:val="605E5C"/>
      <w:shd w:val="clear" w:color="auto" w:fill="E1DFDD"/>
    </w:rPr>
  </w:style>
  <w:style w:type="character" w:styleId="CommentReference">
    <w:name w:val="annotation reference"/>
    <w:basedOn w:val="DefaultParagraphFont"/>
    <w:uiPriority w:val="99"/>
    <w:semiHidden/>
    <w:unhideWhenUsed/>
    <w:rsid w:val="008B1171"/>
    <w:rPr>
      <w:sz w:val="16"/>
      <w:szCs w:val="16"/>
    </w:rPr>
  </w:style>
  <w:style w:type="paragraph" w:styleId="CommentText">
    <w:name w:val="annotation text"/>
    <w:basedOn w:val="Normal"/>
    <w:link w:val="CommentTextChar"/>
    <w:uiPriority w:val="99"/>
    <w:unhideWhenUsed/>
    <w:rsid w:val="008B1171"/>
    <w:rPr>
      <w:sz w:val="20"/>
      <w:szCs w:val="20"/>
    </w:rPr>
  </w:style>
  <w:style w:type="character" w:customStyle="1" w:styleId="CommentTextChar">
    <w:name w:val="Comment Text Char"/>
    <w:basedOn w:val="DefaultParagraphFont"/>
    <w:link w:val="CommentText"/>
    <w:uiPriority w:val="99"/>
    <w:rsid w:val="008B117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B1171"/>
    <w:rPr>
      <w:b/>
      <w:bCs/>
    </w:rPr>
  </w:style>
  <w:style w:type="character" w:customStyle="1" w:styleId="CommentSubjectChar">
    <w:name w:val="Comment Subject Char"/>
    <w:basedOn w:val="CommentTextChar"/>
    <w:link w:val="CommentSubject"/>
    <w:uiPriority w:val="99"/>
    <w:semiHidden/>
    <w:rsid w:val="008B1171"/>
    <w:rPr>
      <w:rFonts w:ascii="Times New Roman" w:hAnsi="Times New Roman"/>
      <w:b/>
      <w:bCs/>
      <w:sz w:val="20"/>
      <w:szCs w:val="20"/>
    </w:rPr>
  </w:style>
  <w:style w:type="paragraph" w:styleId="BodyText">
    <w:name w:val="Body Text"/>
    <w:basedOn w:val="Normal"/>
    <w:link w:val="BodyTextChar"/>
    <w:uiPriority w:val="1"/>
    <w:qFormat/>
    <w:rsid w:val="00FD71D5"/>
    <w:pPr>
      <w:widowControl w:val="0"/>
    </w:pPr>
    <w:rPr>
      <w:rFonts w:ascii="Arial" w:eastAsia="Arial" w:hAnsi="Arial" w:cs="Arial"/>
      <w:sz w:val="25"/>
      <w:szCs w:val="25"/>
    </w:rPr>
  </w:style>
  <w:style w:type="character" w:customStyle="1" w:styleId="BodyTextChar">
    <w:name w:val="Body Text Char"/>
    <w:basedOn w:val="DefaultParagraphFont"/>
    <w:link w:val="BodyText"/>
    <w:uiPriority w:val="1"/>
    <w:rsid w:val="00FD71D5"/>
    <w:rPr>
      <w:rFonts w:ascii="Arial" w:eastAsia="Arial" w:hAnsi="Arial" w:cs="Arial"/>
      <w:sz w:val="25"/>
      <w:szCs w:val="25"/>
    </w:rPr>
  </w:style>
  <w:style w:type="paragraph" w:customStyle="1" w:styleId="StyleBodyTextLinespacingMultiple165li">
    <w:name w:val="Style Body Text + Line spacing:  Multiple 1.65 li"/>
    <w:basedOn w:val="BodyText"/>
    <w:uiPriority w:val="99"/>
    <w:rsid w:val="00B17907"/>
    <w:pPr>
      <w:widowControl/>
      <w:spacing w:line="420" w:lineRule="auto"/>
      <w:ind w:firstLine="720"/>
      <w:jc w:val="both"/>
    </w:pPr>
    <w:rPr>
      <w:rFonts w:ascii="Georgia" w:eastAsia="Times New Roman" w:hAnsi="Georgia" w:cs="Times New Roman"/>
      <w:kern w:val="16"/>
      <w:sz w:val="22"/>
      <w:szCs w:val="20"/>
    </w:rPr>
  </w:style>
  <w:style w:type="character" w:customStyle="1" w:styleId="Heading2Char">
    <w:name w:val="Heading 2 Char"/>
    <w:basedOn w:val="DefaultParagraphFont"/>
    <w:link w:val="Heading2"/>
    <w:uiPriority w:val="9"/>
    <w:semiHidden/>
    <w:rsid w:val="00B1790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556F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prc.state.nm.u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gelica.allen@prc.nm.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velink/contentserverdav/nodes/115345365/Ana.Kippenbrock%40prc.nm.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5C636-813E-476F-957F-59CD2DD2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1773</Words>
  <Characters>10112</Characters>
  <Application>Microsoft Office Word</Application>
  <DocSecurity>0</DocSecurity>
  <PresentationFormat>15|.DOCX</PresentationFormat>
  <Lines>84</Lines>
  <Paragraphs>23</Paragraphs>
  <ScaleCrop>false</ScaleCrop>
  <HeadingPairs>
    <vt:vector size="2" baseType="variant">
      <vt:variant>
        <vt:lpstr>Title</vt:lpstr>
      </vt:variant>
      <vt:variant>
        <vt:i4>1</vt:i4>
      </vt:variant>
    </vt:vector>
  </HeadingPairs>
  <TitlesOfParts>
    <vt:vector size="1" baseType="lpstr">
      <vt:lpstr>Notice Attachment and COS for Amended Application for Approval of Four LTPPAs (01505740-4).DOCX</vt:lpstr>
    </vt:vector>
  </TitlesOfParts>
  <Company>Montgomery And Andrews PA</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Attachment and COS for Amended Application for Approval of Four LTPPAs (01505740-4).DOCX</dc:title>
  <dc:subject>wdNOSTAMP</dc:subject>
  <dc:creator>Daniel Goldberg</dc:creator>
  <cp:keywords/>
  <dc:description>DO NOT STAMP</dc:description>
  <cp:lastModifiedBy>Kippenbrock, Ana, PRC</cp:lastModifiedBy>
  <cp:revision>9</cp:revision>
  <cp:lastPrinted>2022-12-07T23:53:00Z</cp:lastPrinted>
  <dcterms:created xsi:type="dcterms:W3CDTF">2022-12-07T23:15:00Z</dcterms:created>
  <dcterms:modified xsi:type="dcterms:W3CDTF">2022-12-07T23:54:00Z</dcterms:modified>
</cp:coreProperties>
</file>