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053EB" w14:textId="77777777" w:rsidR="00054C4F" w:rsidRDefault="00054C4F" w:rsidP="00C41E14">
      <w:pPr>
        <w:shd w:val="clear" w:color="auto" w:fill="FFFFFF"/>
        <w:autoSpaceDE w:val="0"/>
        <w:autoSpaceDN w:val="0"/>
        <w:adjustRightInd w:val="0"/>
        <w:jc w:val="center"/>
        <w:rPr>
          <w:b/>
          <w:color w:val="000000"/>
          <w:u w:val="single"/>
        </w:rPr>
      </w:pPr>
    </w:p>
    <w:p w14:paraId="427CBEB5" w14:textId="371190E4" w:rsidR="00C41E14" w:rsidRPr="00C41E14" w:rsidRDefault="00C41E14" w:rsidP="00C41E14">
      <w:pPr>
        <w:shd w:val="clear" w:color="auto" w:fill="FFFFFF"/>
        <w:autoSpaceDE w:val="0"/>
        <w:autoSpaceDN w:val="0"/>
        <w:adjustRightInd w:val="0"/>
        <w:jc w:val="center"/>
        <w:rPr>
          <w:b/>
        </w:rPr>
      </w:pPr>
      <w:r w:rsidRPr="00C41E14">
        <w:rPr>
          <w:b/>
          <w:color w:val="000000"/>
          <w:u w:val="single"/>
        </w:rPr>
        <w:t>BEFORE THE NEW</w:t>
      </w:r>
      <w:r w:rsidRPr="00C41E14">
        <w:rPr>
          <w:b/>
          <w:u w:val="single"/>
        </w:rPr>
        <w:t> </w:t>
      </w:r>
      <w:r w:rsidRPr="00C41E14">
        <w:rPr>
          <w:b/>
          <w:color w:val="000000"/>
          <w:u w:val="single"/>
        </w:rPr>
        <w:t>MEXICO PUBLIC REGULATION COMMISSION</w:t>
      </w:r>
    </w:p>
    <w:p w14:paraId="46ACECF0" w14:textId="77777777" w:rsidR="00C41E14" w:rsidRPr="00C41E14" w:rsidRDefault="00C41E14" w:rsidP="00C41E14">
      <w:pPr>
        <w:shd w:val="clear" w:color="auto" w:fill="FFFFFF"/>
        <w:tabs>
          <w:tab w:val="left" w:pos="8256"/>
        </w:tabs>
        <w:autoSpaceDE w:val="0"/>
        <w:autoSpaceDN w:val="0"/>
        <w:adjustRightInd w:val="0"/>
        <w:jc w:val="center"/>
        <w:rPr>
          <w:b/>
          <w:color w:val="000000"/>
        </w:rPr>
      </w:pPr>
    </w:p>
    <w:p w14:paraId="730A7C17" w14:textId="77777777" w:rsidR="00C41E14" w:rsidRPr="00C41E14" w:rsidRDefault="00C41E14" w:rsidP="00C41E14">
      <w:pPr>
        <w:shd w:val="clear" w:color="auto" w:fill="FFFFFF"/>
        <w:tabs>
          <w:tab w:val="left" w:pos="8256"/>
        </w:tabs>
        <w:autoSpaceDE w:val="0"/>
        <w:autoSpaceDN w:val="0"/>
        <w:adjustRightInd w:val="0"/>
        <w:jc w:val="center"/>
        <w:rPr>
          <w:b/>
          <w:color w:val="000000"/>
        </w:rPr>
      </w:pPr>
    </w:p>
    <w:p w14:paraId="1A7ADD19" w14:textId="77777777" w:rsidR="00FD73CC" w:rsidRPr="00772424" w:rsidRDefault="00FD73CC" w:rsidP="00FD73CC">
      <w:pPr>
        <w:widowControl w:val="0"/>
        <w:ind w:left="5040" w:hanging="5040"/>
        <w:rPr>
          <w:b/>
        </w:rPr>
      </w:pPr>
      <w:r w:rsidRPr="00772424">
        <w:rPr>
          <w:b/>
        </w:rPr>
        <w:t xml:space="preserve">IN THE MATTER OF THE APPLICATION OF </w:t>
      </w:r>
      <w:r w:rsidRPr="00772424">
        <w:rPr>
          <w:b/>
        </w:rPr>
        <w:tab/>
        <w:t>)</w:t>
      </w:r>
    </w:p>
    <w:p w14:paraId="7680CBBE" w14:textId="77777777" w:rsidR="00FD73CC" w:rsidRPr="00772424" w:rsidRDefault="00FD73CC" w:rsidP="00FD73CC">
      <w:pPr>
        <w:widowControl w:val="0"/>
        <w:ind w:left="5040" w:hanging="5040"/>
        <w:rPr>
          <w:b/>
        </w:rPr>
      </w:pPr>
      <w:r w:rsidRPr="00772424">
        <w:rPr>
          <w:b/>
        </w:rPr>
        <w:t>EL PASO ELECTRIC COMPANY</w:t>
      </w:r>
      <w:r w:rsidRPr="00772424">
        <w:rPr>
          <w:b/>
          <w:spacing w:val="-3"/>
        </w:rPr>
        <w:t xml:space="preserve"> FOR A </w:t>
      </w:r>
      <w:r w:rsidRPr="00772424">
        <w:rPr>
          <w:b/>
          <w:spacing w:val="-3"/>
        </w:rPr>
        <w:tab/>
        <w:t xml:space="preserve"> </w:t>
      </w:r>
      <w:r w:rsidRPr="00772424">
        <w:rPr>
          <w:b/>
          <w:spacing w:val="-3"/>
        </w:rPr>
        <w:tab/>
        <w:t>)</w:t>
      </w:r>
    </w:p>
    <w:p w14:paraId="46151E30" w14:textId="77777777" w:rsidR="00FD73CC" w:rsidRPr="00772424" w:rsidRDefault="00FD73CC" w:rsidP="00FD73CC">
      <w:pPr>
        <w:widowControl w:val="0"/>
        <w:ind w:left="5040" w:hanging="5040"/>
        <w:rPr>
          <w:b/>
          <w:spacing w:val="-3"/>
        </w:rPr>
      </w:pPr>
      <w:r w:rsidRPr="00772424">
        <w:rPr>
          <w:b/>
          <w:spacing w:val="-3"/>
        </w:rPr>
        <w:t>VARIANCE FROM THE FUEL AND PURCHASED</w:t>
      </w:r>
      <w:r w:rsidRPr="00772424">
        <w:rPr>
          <w:b/>
          <w:spacing w:val="-3"/>
        </w:rPr>
        <w:tab/>
        <w:t xml:space="preserve">)  </w:t>
      </w:r>
    </w:p>
    <w:p w14:paraId="3333F7B9" w14:textId="77777777" w:rsidR="00FD73CC" w:rsidRPr="00772424" w:rsidRDefault="00FD73CC" w:rsidP="00FD73CC">
      <w:pPr>
        <w:widowControl w:val="0"/>
        <w:ind w:left="5040" w:hanging="5040"/>
        <w:rPr>
          <w:b/>
          <w:spacing w:val="-3"/>
        </w:rPr>
      </w:pPr>
      <w:r w:rsidRPr="00772424">
        <w:rPr>
          <w:b/>
          <w:spacing w:val="-3"/>
        </w:rPr>
        <w:t xml:space="preserve">POWER COST ADJUSTMENT CLAUSE </w:t>
      </w:r>
      <w:r w:rsidRPr="00772424">
        <w:rPr>
          <w:b/>
          <w:spacing w:val="-3"/>
        </w:rPr>
        <w:tab/>
      </w:r>
      <w:r w:rsidRPr="00772424">
        <w:rPr>
          <w:b/>
          <w:spacing w:val="-3"/>
        </w:rPr>
        <w:tab/>
        <w:t>)</w:t>
      </w:r>
      <w:r w:rsidRPr="00772424">
        <w:rPr>
          <w:b/>
          <w:spacing w:val="-3"/>
        </w:rPr>
        <w:tab/>
        <w:t xml:space="preserve"> Case No. 21-00064-UT</w:t>
      </w:r>
    </w:p>
    <w:p w14:paraId="6BB33757" w14:textId="77777777" w:rsidR="00FD73CC" w:rsidRPr="00772424" w:rsidRDefault="00FD73CC" w:rsidP="00FD73CC">
      <w:pPr>
        <w:widowControl w:val="0"/>
        <w:ind w:left="5040" w:hanging="5040"/>
        <w:rPr>
          <w:b/>
          <w:spacing w:val="-3"/>
        </w:rPr>
      </w:pPr>
      <w:r w:rsidRPr="00772424">
        <w:rPr>
          <w:b/>
          <w:spacing w:val="-3"/>
        </w:rPr>
        <w:t>METHODOLOGY</w:t>
      </w:r>
      <w:r w:rsidRPr="00772424">
        <w:rPr>
          <w:b/>
          <w:spacing w:val="-3"/>
        </w:rPr>
        <w:tab/>
      </w:r>
      <w:r w:rsidRPr="00772424">
        <w:rPr>
          <w:b/>
          <w:spacing w:val="-3"/>
        </w:rPr>
        <w:tab/>
        <w:t>)</w:t>
      </w:r>
    </w:p>
    <w:p w14:paraId="555EFB37" w14:textId="77777777" w:rsidR="00FD73CC" w:rsidRPr="00772424" w:rsidRDefault="00FD73CC" w:rsidP="00FD73CC">
      <w:pPr>
        <w:widowControl w:val="0"/>
        <w:ind w:left="5040" w:hanging="5040"/>
        <w:rPr>
          <w:b/>
          <w:spacing w:val="-3"/>
        </w:rPr>
      </w:pPr>
      <w:r w:rsidRPr="00772424">
        <w:rPr>
          <w:b/>
          <w:spacing w:val="-3"/>
        </w:rPr>
        <w:tab/>
      </w:r>
      <w:r w:rsidRPr="00772424">
        <w:rPr>
          <w:b/>
          <w:spacing w:val="-3"/>
        </w:rPr>
        <w:tab/>
        <w:t>)</w:t>
      </w:r>
    </w:p>
    <w:p w14:paraId="5F6AE9FE" w14:textId="77777777" w:rsidR="00C41E14" w:rsidRPr="00C41E14" w:rsidRDefault="00C41E14" w:rsidP="00C41E14">
      <w:pPr>
        <w:widowControl w:val="0"/>
        <w:shd w:val="clear" w:color="auto" w:fill="FFFFFF"/>
        <w:tabs>
          <w:tab w:val="left" w:pos="5580"/>
          <w:tab w:val="left" w:pos="5670"/>
          <w:tab w:val="left" w:pos="6480"/>
        </w:tabs>
        <w:autoSpaceDE w:val="0"/>
        <w:autoSpaceDN w:val="0"/>
        <w:adjustRightInd w:val="0"/>
        <w:jc w:val="both"/>
        <w:rPr>
          <w:b/>
        </w:rPr>
      </w:pPr>
      <w:r w:rsidRPr="00C41E14">
        <w:rPr>
          <w:b/>
        </w:rPr>
        <w:t>EL PASO ELECTRIC COMPANY,</w:t>
      </w:r>
      <w:r w:rsidRPr="00C41E14">
        <w:rPr>
          <w:b/>
        </w:rPr>
        <w:tab/>
        <w:t>)</w:t>
      </w:r>
    </w:p>
    <w:p w14:paraId="239FB015" w14:textId="77777777" w:rsidR="00C41E14" w:rsidRPr="00C41E14" w:rsidRDefault="00C41E14" w:rsidP="00C41E14">
      <w:pPr>
        <w:tabs>
          <w:tab w:val="left" w:pos="-1440"/>
          <w:tab w:val="left" w:pos="2160"/>
          <w:tab w:val="left" w:pos="5580"/>
        </w:tabs>
        <w:rPr>
          <w:b/>
        </w:rPr>
      </w:pPr>
      <w:r w:rsidRPr="00C41E14">
        <w:rPr>
          <w:b/>
        </w:rPr>
        <w:tab/>
        <w:t>Applicant.</w:t>
      </w:r>
      <w:r w:rsidRPr="00C41E14">
        <w:rPr>
          <w:b/>
        </w:rPr>
        <w:tab/>
        <w:t>)</w:t>
      </w:r>
    </w:p>
    <w:p w14:paraId="4032E44E" w14:textId="77777777" w:rsidR="00C41E14" w:rsidRPr="00C41E14" w:rsidRDefault="00C41E14" w:rsidP="00C41E14">
      <w:pPr>
        <w:tabs>
          <w:tab w:val="left" w:pos="-1440"/>
          <w:tab w:val="left" w:pos="5580"/>
          <w:tab w:val="left" w:pos="7200"/>
        </w:tabs>
        <w:rPr>
          <w:b/>
          <w:u w:val="single"/>
        </w:rPr>
      </w:pPr>
      <w:r w:rsidRPr="00C41E14">
        <w:rPr>
          <w:b/>
          <w:u w:val="single"/>
        </w:rPr>
        <w:tab/>
        <w:t>)</w:t>
      </w:r>
    </w:p>
    <w:p w14:paraId="656FB9AE" w14:textId="77777777" w:rsidR="00967D26" w:rsidRDefault="00967D26">
      <w:pPr>
        <w:pStyle w:val="PlainText"/>
        <w:spacing w:line="240" w:lineRule="auto"/>
        <w:ind w:left="0" w:firstLine="0"/>
        <w:jc w:val="center"/>
        <w:rPr>
          <w:b/>
        </w:rPr>
      </w:pPr>
    </w:p>
    <w:p w14:paraId="2312620E" w14:textId="3B856507" w:rsidR="00DA15B2" w:rsidRPr="00BA2EAD" w:rsidRDefault="00BA2EAD" w:rsidP="00CB2CD8">
      <w:pPr>
        <w:pStyle w:val="PlainText"/>
        <w:spacing w:line="240" w:lineRule="auto"/>
        <w:ind w:left="0" w:firstLine="0"/>
        <w:jc w:val="center"/>
        <w:rPr>
          <w:b/>
          <w:u w:val="single"/>
        </w:rPr>
      </w:pPr>
      <w:r w:rsidRPr="00BA2EAD">
        <w:rPr>
          <w:b/>
          <w:u w:val="single"/>
        </w:rPr>
        <w:t>NOTICE TO EPE CUSTOMERS</w:t>
      </w:r>
      <w:r w:rsidRPr="00BA2EAD">
        <w:rPr>
          <w:b/>
          <w:u w:val="single"/>
        </w:rPr>
        <w:tab/>
      </w:r>
    </w:p>
    <w:p w14:paraId="13488429" w14:textId="77777777" w:rsidR="00507C24" w:rsidRDefault="00507C24">
      <w:pPr>
        <w:pStyle w:val="PlainText"/>
        <w:spacing w:line="240" w:lineRule="auto"/>
        <w:ind w:left="0" w:firstLine="0"/>
        <w:jc w:val="center"/>
        <w:rPr>
          <w:b/>
        </w:rPr>
      </w:pPr>
    </w:p>
    <w:p w14:paraId="632FC922" w14:textId="77777777" w:rsidR="00D9708C" w:rsidRPr="00D9708C" w:rsidRDefault="00D9708C" w:rsidP="00D9708C">
      <w:pPr>
        <w:widowControl w:val="0"/>
        <w:spacing w:line="480" w:lineRule="auto"/>
        <w:ind w:firstLine="720"/>
        <w:contextualSpacing/>
        <w:jc w:val="both"/>
        <w:rPr>
          <w:rFonts w:eastAsia="Arial"/>
        </w:rPr>
      </w:pPr>
      <w:r w:rsidRPr="00D9708C">
        <w:rPr>
          <w:rFonts w:eastAsia="Arial"/>
          <w:b/>
          <w:w w:val="96"/>
        </w:rPr>
        <w:t xml:space="preserve">NOTICE </w:t>
      </w:r>
      <w:r w:rsidRPr="00D9708C">
        <w:rPr>
          <w:rFonts w:eastAsia="Arial"/>
          <w:w w:val="109"/>
        </w:rPr>
        <w:t xml:space="preserve">is </w:t>
      </w:r>
      <w:r w:rsidRPr="00D9708C">
        <w:rPr>
          <w:rFonts w:eastAsia="Arial"/>
          <w:w w:val="105"/>
        </w:rPr>
        <w:t xml:space="preserve">hereby </w:t>
      </w:r>
      <w:r w:rsidRPr="00D9708C">
        <w:rPr>
          <w:rFonts w:eastAsia="Arial"/>
          <w:w w:val="108"/>
        </w:rPr>
        <w:t xml:space="preserve">given </w:t>
      </w:r>
      <w:r w:rsidRPr="00D9708C">
        <w:rPr>
          <w:rFonts w:eastAsia="Arial"/>
        </w:rPr>
        <w:t xml:space="preserve">of </w:t>
      </w:r>
      <w:r w:rsidRPr="00D9708C">
        <w:rPr>
          <w:rFonts w:eastAsia="Arial"/>
          <w:w w:val="107"/>
        </w:rPr>
        <w:t xml:space="preserve">the </w:t>
      </w:r>
      <w:r w:rsidRPr="00D9708C">
        <w:rPr>
          <w:rFonts w:eastAsia="Arial"/>
          <w:w w:val="106"/>
        </w:rPr>
        <w:t xml:space="preserve">following </w:t>
      </w:r>
      <w:r w:rsidRPr="00D9708C">
        <w:rPr>
          <w:rFonts w:eastAsia="Arial"/>
          <w:w w:val="102"/>
        </w:rPr>
        <w:t xml:space="preserve">matters </w:t>
      </w:r>
      <w:r w:rsidRPr="00D9708C">
        <w:rPr>
          <w:rFonts w:eastAsia="Arial"/>
          <w:w w:val="107"/>
        </w:rPr>
        <w:t xml:space="preserve">pertaining </w:t>
      </w:r>
      <w:r w:rsidRPr="00D9708C">
        <w:rPr>
          <w:rFonts w:eastAsia="Arial"/>
          <w:w w:val="110"/>
        </w:rPr>
        <w:t xml:space="preserve">to </w:t>
      </w:r>
      <w:r w:rsidRPr="00D9708C">
        <w:rPr>
          <w:rFonts w:eastAsia="Arial"/>
          <w:w w:val="107"/>
        </w:rPr>
        <w:t xml:space="preserve">the </w:t>
      </w:r>
      <w:r w:rsidRPr="00D9708C">
        <w:rPr>
          <w:rFonts w:eastAsia="Arial"/>
          <w:w w:val="109"/>
        </w:rPr>
        <w:t xml:space="preserve">above </w:t>
      </w:r>
      <w:r w:rsidRPr="00D9708C">
        <w:rPr>
          <w:rFonts w:eastAsia="Arial"/>
          <w:w w:val="105"/>
        </w:rPr>
        <w:t>captioned case pending before the New Mexico Public Regulation Commission ("Commission" or "NMPRC"):</w:t>
      </w:r>
    </w:p>
    <w:p w14:paraId="5CFBE6C8" w14:textId="14E1B71E" w:rsidR="00645AD3" w:rsidRDefault="00FD73CC" w:rsidP="00645AD3">
      <w:pPr>
        <w:pStyle w:val="ListParagraph"/>
        <w:numPr>
          <w:ilvl w:val="0"/>
          <w:numId w:val="11"/>
        </w:numPr>
        <w:spacing w:line="480" w:lineRule="auto"/>
        <w:ind w:left="0" w:firstLine="720"/>
        <w:jc w:val="both"/>
      </w:pPr>
      <w:r w:rsidRPr="00FD73CC">
        <w:t xml:space="preserve">On March 17, 2021, El Paso Electric Company ("EPE" or "Company") filed its request for approval of its Application for a Variance from the Fuel and Purchased Power Cost Adjustment Clause  ("FPPCAC") Methodology,   pursuant   to   New   Mexico   Public   Regulation Commission  (“NMPRC”  or  “Commission”)  Rule  17.9.550  Fuel  and  Purchased  Power  Cost  Adjustment  Clause  for  Electric  Utilities  of  the  New  Mexico  Administrative  Code  (“NMAC”)  (“Rule  550”),  </w:t>
      </w:r>
      <w:r w:rsidR="009D1344">
        <w:t>seeking a</w:t>
      </w:r>
      <w:r w:rsidRPr="00FD73CC">
        <w:t xml:space="preserve"> Commission  order  authorizing  a  variance  from  its approved methodology for recovery of costs through its Fuel and Purchased Power Cost Adjustment Clause (“FPPCAC”).  See 17.9.550.8 NMAC</w:t>
      </w:r>
      <w:r w:rsidR="00BF6ACB">
        <w:t>.</w:t>
      </w:r>
      <w:r w:rsidR="00CD1EF6">
        <w:t xml:space="preserve"> </w:t>
      </w:r>
      <w:r w:rsidR="00F373FF">
        <w:t xml:space="preserve"> </w:t>
      </w:r>
    </w:p>
    <w:p w14:paraId="4FCC57BE" w14:textId="4CE14317" w:rsidR="00AB321E" w:rsidRDefault="00FD73CC" w:rsidP="007B53FF">
      <w:pPr>
        <w:pStyle w:val="ListParagraph"/>
        <w:numPr>
          <w:ilvl w:val="0"/>
          <w:numId w:val="11"/>
        </w:numPr>
        <w:spacing w:line="480" w:lineRule="auto"/>
        <w:ind w:left="0" w:firstLine="720"/>
        <w:jc w:val="both"/>
      </w:pPr>
      <w:r w:rsidRPr="000651E3">
        <w:t>EPE</w:t>
      </w:r>
      <w:r w:rsidRPr="000651E3">
        <w:rPr>
          <w:spacing w:val="-5"/>
        </w:rPr>
        <w:t xml:space="preserve"> </w:t>
      </w:r>
      <w:r w:rsidRPr="000651E3">
        <w:t>requested</w:t>
      </w:r>
      <w:r w:rsidRPr="000651E3">
        <w:rPr>
          <w:spacing w:val="-6"/>
        </w:rPr>
        <w:t xml:space="preserve"> </w:t>
      </w:r>
      <w:r w:rsidRPr="000651E3">
        <w:t>that</w:t>
      </w:r>
      <w:r w:rsidRPr="000651E3">
        <w:rPr>
          <w:spacing w:val="-5"/>
        </w:rPr>
        <w:t xml:space="preserve"> </w:t>
      </w:r>
      <w:r w:rsidRPr="000651E3">
        <w:t>the</w:t>
      </w:r>
      <w:r w:rsidRPr="000651E3">
        <w:rPr>
          <w:spacing w:val="-6"/>
        </w:rPr>
        <w:t xml:space="preserve"> </w:t>
      </w:r>
      <w:r w:rsidRPr="000651E3">
        <w:t>Commission</w:t>
      </w:r>
      <w:r w:rsidRPr="000651E3">
        <w:rPr>
          <w:spacing w:val="-6"/>
        </w:rPr>
        <w:t xml:space="preserve"> </w:t>
      </w:r>
      <w:r>
        <w:t>approve</w:t>
      </w:r>
      <w:r w:rsidRPr="000651E3">
        <w:t xml:space="preserve"> EPE's February 2021 Rule 550 R</w:t>
      </w:r>
      <w:r w:rsidR="009D1344">
        <w:t>eport, without suspension</w:t>
      </w:r>
      <w:r w:rsidR="00EF7A25">
        <w:t>,</w:t>
      </w:r>
      <w:r w:rsidR="009D1344">
        <w:t xml:space="preserve"> and g</w:t>
      </w:r>
      <w:r w:rsidRPr="000651E3">
        <w:t xml:space="preserve">rant a variance from the approved FPPCAC methodology that authorizes the inclusion of $6.8 million in EPE’s FPPCAC balancing account, and the </w:t>
      </w:r>
      <w:r w:rsidRPr="000651E3">
        <w:lastRenderedPageBreak/>
        <w:t>recovery of a $566,760 per month amortization for twelve months beginning with April 2021 bills as reflected in the February 2021 Rule 550 Report</w:t>
      </w:r>
      <w:r w:rsidR="00402A5E">
        <w:t xml:space="preserve">.  </w:t>
      </w:r>
    </w:p>
    <w:p w14:paraId="2B51B03D" w14:textId="3C64F637" w:rsidR="0078067D" w:rsidRDefault="00FD73CC" w:rsidP="00AB321E">
      <w:pPr>
        <w:pStyle w:val="ListParagraph"/>
        <w:numPr>
          <w:ilvl w:val="0"/>
          <w:numId w:val="11"/>
        </w:numPr>
        <w:spacing w:line="480" w:lineRule="auto"/>
        <w:ind w:left="0" w:firstLine="720"/>
        <w:jc w:val="both"/>
      </w:pPr>
      <w:r w:rsidRPr="004338F5">
        <w:t>On</w:t>
      </w:r>
      <w:r w:rsidRPr="004338F5">
        <w:rPr>
          <w:spacing w:val="32"/>
        </w:rPr>
        <w:t xml:space="preserve"> </w:t>
      </w:r>
      <w:r w:rsidRPr="004338F5">
        <w:t>March 31, 2021,</w:t>
      </w:r>
      <w:r w:rsidRPr="004338F5">
        <w:rPr>
          <w:spacing w:val="33"/>
        </w:rPr>
        <w:t xml:space="preserve"> the Commission issued an </w:t>
      </w:r>
      <w:r w:rsidRPr="004338F5">
        <w:t xml:space="preserve">Order setting </w:t>
      </w:r>
      <w:r w:rsidR="00281222">
        <w:t xml:space="preserve">a </w:t>
      </w:r>
      <w:r w:rsidRPr="004338F5">
        <w:t xml:space="preserve">temporary FPPCAC adjustment and appointing </w:t>
      </w:r>
      <w:r w:rsidR="00F91C2C">
        <w:t xml:space="preserve">a </w:t>
      </w:r>
      <w:r w:rsidRPr="004338F5">
        <w:t>hearing examiner for further proceedings.</w:t>
      </w:r>
      <w:r w:rsidRPr="004338F5">
        <w:rPr>
          <w:rFonts w:ascii="TimesNewRomanPSMT" w:hAnsi="TimesNewRomanPSMT" w:cs="TimesNewRomanPSMT"/>
        </w:rPr>
        <w:t xml:space="preserve"> </w:t>
      </w:r>
      <w:r w:rsidRPr="004338F5">
        <w:t xml:space="preserve">EPE </w:t>
      </w:r>
      <w:r w:rsidR="00281222">
        <w:t>was ordered</w:t>
      </w:r>
      <w:r w:rsidRPr="004338F5">
        <w:t xml:space="preserve"> to modify the application of its FPPCAC for April 2021 billing to exclude the “incremental costs” for </w:t>
      </w:r>
      <w:r w:rsidR="00281222">
        <w:t xml:space="preserve">the </w:t>
      </w:r>
      <w:r w:rsidRPr="004338F5">
        <w:t>February 2021</w:t>
      </w:r>
      <w:r w:rsidR="00281222">
        <w:t xml:space="preserve"> cold weather event</w:t>
      </w:r>
      <w:r w:rsidRPr="004338F5">
        <w:t xml:space="preserve"> claimed by EPE in </w:t>
      </w:r>
      <w:r w:rsidR="00281222">
        <w:t>its</w:t>
      </w:r>
      <w:r w:rsidRPr="004338F5">
        <w:t xml:space="preserve"> Motion</w:t>
      </w:r>
      <w:r w:rsidR="00281222">
        <w:t>.</w:t>
      </w:r>
    </w:p>
    <w:p w14:paraId="7ED94895" w14:textId="0CFCE13C" w:rsidR="00FD73CC" w:rsidRPr="00FD73CC" w:rsidRDefault="00FD73CC" w:rsidP="00FD73CC">
      <w:pPr>
        <w:pStyle w:val="ListParagraph"/>
        <w:numPr>
          <w:ilvl w:val="0"/>
          <w:numId w:val="11"/>
        </w:numPr>
        <w:spacing w:line="480" w:lineRule="auto"/>
        <w:ind w:left="0" w:firstLine="720"/>
      </w:pPr>
      <w:r w:rsidRPr="00FD73CC">
        <w:t xml:space="preserve">The Commission has issued Orders finding jurisdiction over this proceeding and </w:t>
      </w:r>
      <w:r w:rsidR="00281222">
        <w:t>setting</w:t>
      </w:r>
      <w:r w:rsidRPr="00FD73CC">
        <w:t xml:space="preserve"> the case for a</w:t>
      </w:r>
      <w:r w:rsidR="00281222">
        <w:t>n</w:t>
      </w:r>
      <w:r w:rsidRPr="00FD73CC">
        <w:t xml:space="preserve"> adjudicatory proceeding</w:t>
      </w:r>
      <w:r w:rsidR="00281222">
        <w:t xml:space="preserve"> on the issue of recovery of the incremental costs associated with the February 2021 cold weather event</w:t>
      </w:r>
      <w:r w:rsidRPr="00FD73CC">
        <w:t xml:space="preserve">. </w:t>
      </w:r>
    </w:p>
    <w:p w14:paraId="2C8C69CD" w14:textId="05A7AF4D" w:rsidR="007B53FF" w:rsidRPr="007B53FF" w:rsidRDefault="00281222" w:rsidP="00AB321E">
      <w:pPr>
        <w:pStyle w:val="ListParagraph"/>
        <w:numPr>
          <w:ilvl w:val="0"/>
          <w:numId w:val="11"/>
        </w:numPr>
        <w:spacing w:line="480" w:lineRule="auto"/>
        <w:ind w:left="0" w:firstLine="720"/>
        <w:jc w:val="both"/>
      </w:pPr>
      <w:r>
        <w:t>A pre</w:t>
      </w:r>
      <w:r w:rsidRPr="00FD73CC">
        <w:t>hearing was held</w:t>
      </w:r>
      <w:r>
        <w:t xml:space="preserve"> on April 2</w:t>
      </w:r>
      <w:r w:rsidR="00EF7A25">
        <w:t>2</w:t>
      </w:r>
      <w:r>
        <w:t>, 2021</w:t>
      </w:r>
      <w:r w:rsidRPr="00FD73CC">
        <w:t xml:space="preserve">.  </w:t>
      </w:r>
      <w:r w:rsidR="00645AD3" w:rsidRPr="00AB321E">
        <w:rPr>
          <w:w w:val="105"/>
        </w:rPr>
        <w:t xml:space="preserve">The Commission has </w:t>
      </w:r>
      <w:r w:rsidR="007B53FF">
        <w:rPr>
          <w:w w:val="105"/>
        </w:rPr>
        <w:t xml:space="preserve">set the schedule for hearing of this case as follows: </w:t>
      </w:r>
    </w:p>
    <w:p w14:paraId="6BF71229" w14:textId="6DD91A1D" w:rsidR="007B53FF" w:rsidRDefault="007B53FF" w:rsidP="007B53FF">
      <w:pPr>
        <w:tabs>
          <w:tab w:val="num" w:pos="1440"/>
        </w:tabs>
        <w:spacing w:line="480" w:lineRule="auto"/>
        <w:jc w:val="both"/>
      </w:pPr>
      <w:r>
        <w:tab/>
        <w:t xml:space="preserve">A. </w:t>
      </w:r>
      <w:r>
        <w:tab/>
        <w:t>A public hear</w:t>
      </w:r>
      <w:r w:rsidR="00281222">
        <w:t>ing shall be held beginning on July 21</w:t>
      </w:r>
      <w:r>
        <w:t xml:space="preserve">, 2021, commencing at </w:t>
      </w:r>
      <w:r w:rsidR="00281222">
        <w:t>9:00 a.m.</w:t>
      </w:r>
      <w:r>
        <w:t xml:space="preserve"> MDT</w:t>
      </w:r>
      <w:r w:rsidR="009F4C50" w:rsidRPr="002F1EEF">
        <w:t>, and shall continue as necessary through July 22, 2021.  The hearing shall be held via the Zoom videoconference platform unless the Hearing Examiner orders otherwise.</w:t>
      </w:r>
    </w:p>
    <w:p w14:paraId="257F5D69" w14:textId="6916A776" w:rsidR="007B53FF" w:rsidRPr="009F4C50" w:rsidRDefault="00281222" w:rsidP="007B53FF">
      <w:pPr>
        <w:tabs>
          <w:tab w:val="num" w:pos="1440"/>
        </w:tabs>
        <w:spacing w:line="480" w:lineRule="auto"/>
        <w:jc w:val="both"/>
      </w:pPr>
      <w:r w:rsidRPr="009F4C50">
        <w:tab/>
        <w:t>B</w:t>
      </w:r>
      <w:r w:rsidR="007B53FF" w:rsidRPr="009F4C50">
        <w:t>.</w:t>
      </w:r>
      <w:r w:rsidR="007B53FF" w:rsidRPr="009F4C50">
        <w:tab/>
      </w:r>
      <w:r w:rsidR="009F4C50" w:rsidRPr="009F4C50">
        <w:t>The persons who filed responses to EPE’s Motion for Variance are automatically deemed parties to this case and need not file motions to intervene.  These persons are the City</w:t>
      </w:r>
      <w:r w:rsidR="00EF7A25">
        <w:t xml:space="preserve"> of Las Cruces</w:t>
      </w:r>
      <w:r w:rsidR="009F4C50" w:rsidRPr="009F4C50">
        <w:t xml:space="preserve">; </w:t>
      </w:r>
      <w:r w:rsidR="00EF7A25">
        <w:t>Dona Ana</w:t>
      </w:r>
      <w:r w:rsidR="009F4C50" w:rsidRPr="009F4C50">
        <w:t xml:space="preserve"> County; Allen Downs; Philip Simpson; and Merrie Lee Soules.  Any other person desiring to intervene to become a party (intervenor) must file a motion for leave to intervene in conformity with Rules of Procedure 1.2.2.23(A) and 1.2.2.23(B) NMAC on or before June 11, 2021.</w:t>
      </w:r>
      <w:r w:rsidR="007B53FF" w:rsidRPr="009F4C50">
        <w:t xml:space="preserve">  </w:t>
      </w:r>
    </w:p>
    <w:p w14:paraId="399E01F3" w14:textId="6B5CD5CA" w:rsidR="00281222" w:rsidRDefault="00281222" w:rsidP="007B53FF">
      <w:pPr>
        <w:tabs>
          <w:tab w:val="num" w:pos="1440"/>
        </w:tabs>
        <w:spacing w:line="480" w:lineRule="auto"/>
        <w:jc w:val="both"/>
      </w:pPr>
      <w:r>
        <w:tab/>
        <w:t>C.</w:t>
      </w:r>
      <w:r>
        <w:tab/>
        <w:t>EPE shall file direct testimony on or before May 14, 2021.</w:t>
      </w:r>
    </w:p>
    <w:p w14:paraId="222F4463" w14:textId="4092AA1E" w:rsidR="007B53FF" w:rsidRDefault="007B53FF" w:rsidP="007B53FF">
      <w:pPr>
        <w:tabs>
          <w:tab w:val="num" w:pos="1440"/>
        </w:tabs>
        <w:spacing w:line="480" w:lineRule="auto"/>
        <w:jc w:val="both"/>
      </w:pPr>
      <w:r>
        <w:lastRenderedPageBreak/>
        <w:tab/>
        <w:t>D.</w:t>
      </w:r>
      <w:r>
        <w:tab/>
        <w:t>The Commission Staff sh</w:t>
      </w:r>
      <w:r w:rsidR="00281222">
        <w:t>all, and Intervenors may, file direct t</w:t>
      </w:r>
      <w:r>
        <w:t xml:space="preserve">estimony on or before </w:t>
      </w:r>
      <w:r w:rsidR="00281222">
        <w:t>June 18</w:t>
      </w:r>
      <w:r>
        <w:t>, 2021.</w:t>
      </w:r>
    </w:p>
    <w:p w14:paraId="5436ED39" w14:textId="42815B6B" w:rsidR="00281222" w:rsidRDefault="00281222" w:rsidP="007B53FF">
      <w:pPr>
        <w:tabs>
          <w:tab w:val="num" w:pos="1440"/>
        </w:tabs>
        <w:spacing w:line="480" w:lineRule="auto"/>
        <w:jc w:val="both"/>
      </w:pPr>
      <w:r>
        <w:tab/>
        <w:t>E.</w:t>
      </w:r>
      <w:r>
        <w:tab/>
        <w:t>If the parties are able to agree to a stipulation, that stipulation must be filed on or before July 2, 2021</w:t>
      </w:r>
      <w:r w:rsidR="00EF7A25">
        <w:t xml:space="preserve"> to be considered</w:t>
      </w:r>
      <w:r>
        <w:t>.</w:t>
      </w:r>
    </w:p>
    <w:p w14:paraId="574374A5" w14:textId="5BCEFAD4" w:rsidR="00A639C7" w:rsidRPr="007B53FF" w:rsidRDefault="00EF7A25" w:rsidP="00A639C7">
      <w:pPr>
        <w:pStyle w:val="ListParagraph"/>
        <w:spacing w:line="480" w:lineRule="auto"/>
        <w:ind w:firstLine="720"/>
        <w:jc w:val="both"/>
      </w:pPr>
      <w:r>
        <w:t>F</w:t>
      </w:r>
      <w:r w:rsidR="00281222">
        <w:t>.</w:t>
      </w:r>
      <w:r w:rsidR="00281222">
        <w:tab/>
        <w:t>Rebuttal t</w:t>
      </w:r>
      <w:r w:rsidR="00A639C7">
        <w:t xml:space="preserve">estimony may be filed on or before </w:t>
      </w:r>
      <w:r w:rsidR="00281222">
        <w:t>July 13</w:t>
      </w:r>
      <w:r w:rsidR="00A639C7">
        <w:t>, 2021.</w:t>
      </w:r>
      <w:r w:rsidR="00A639C7">
        <w:tab/>
      </w:r>
    </w:p>
    <w:p w14:paraId="4EFD21EA" w14:textId="55F60FF1" w:rsidR="00A639C7" w:rsidRDefault="00A639C7" w:rsidP="00A639C7">
      <w:pPr>
        <w:numPr>
          <w:ilvl w:val="0"/>
          <w:numId w:val="11"/>
        </w:numPr>
        <w:spacing w:line="480" w:lineRule="auto"/>
        <w:ind w:left="0" w:firstLine="720"/>
        <w:jc w:val="both"/>
      </w:pPr>
      <w:r>
        <w:t>This matter has been desi</w:t>
      </w:r>
      <w:r w:rsidR="009E5325">
        <w:t>gnated as Case No. 2</w:t>
      </w:r>
      <w:r w:rsidR="004B39AD">
        <w:t>1</w:t>
      </w:r>
      <w:r w:rsidR="009E5325">
        <w:t>-</w:t>
      </w:r>
      <w:r w:rsidR="004B39AD">
        <w:t>00064</w:t>
      </w:r>
      <w:r w:rsidR="009E5325">
        <w:t>-UT</w:t>
      </w:r>
      <w:r>
        <w:t xml:space="preserve"> and all inquiries and correspondence should refer to that number.</w:t>
      </w:r>
    </w:p>
    <w:p w14:paraId="14E65A84" w14:textId="77777777" w:rsidR="00A639C7" w:rsidRDefault="00A639C7" w:rsidP="00A639C7">
      <w:pPr>
        <w:numPr>
          <w:ilvl w:val="0"/>
          <w:numId w:val="11"/>
        </w:numPr>
        <w:spacing w:line="480" w:lineRule="auto"/>
        <w:ind w:left="0" w:firstLine="720"/>
        <w:jc w:val="both"/>
      </w:pPr>
      <w:r>
        <w:t xml:space="preserve">The Commission's Rules of Practice and Procedure, 1.2.2 NMAC, apply to this case except as modified by Order.  The Rules of Procedure are available online at </w:t>
      </w:r>
      <w:hyperlink r:id="rId8" w:history="1">
        <w:r w:rsidRPr="00B801B0">
          <w:rPr>
            <w:rStyle w:val="Hyperlink"/>
          </w:rPr>
          <w:t>http://164.64.110.134/nmac/home</w:t>
        </w:r>
      </w:hyperlink>
      <w:r>
        <w:t>.</w:t>
      </w:r>
    </w:p>
    <w:p w14:paraId="65155904" w14:textId="73A4B160" w:rsidR="00A639C7" w:rsidRDefault="00A639C7" w:rsidP="00A639C7">
      <w:pPr>
        <w:numPr>
          <w:ilvl w:val="0"/>
          <w:numId w:val="11"/>
        </w:numPr>
        <w:spacing w:line="480" w:lineRule="auto"/>
        <w:ind w:left="0" w:firstLine="720"/>
        <w:jc w:val="both"/>
      </w:pPr>
      <w:r>
        <w:t>Interested persons may examine the Application</w:t>
      </w:r>
      <w:r w:rsidR="00281222">
        <w:t xml:space="preserve">, </w:t>
      </w:r>
      <w:r w:rsidR="00EF7A25">
        <w:t>Procedural Order</w:t>
      </w:r>
      <w:r w:rsidR="00281222">
        <w:t>,</w:t>
      </w:r>
      <w:r>
        <w:t xml:space="preserve"> and the prefiled testimonies, exhibits, pleadings and other documents filed in the case online at </w:t>
      </w:r>
      <w:hyperlink r:id="rId9" w:history="1">
        <w:r w:rsidRPr="004E13AB">
          <w:rPr>
            <w:rStyle w:val="Hyperlink"/>
          </w:rPr>
          <w:t>http://nmprc.state.nm.us</w:t>
        </w:r>
      </w:hyperlink>
      <w:r>
        <w:t xml:space="preserve"> under “Case Lookup Edocket.”</w:t>
      </w:r>
      <w:r w:rsidR="009F4C50">
        <w:t xml:space="preserve">  </w:t>
      </w:r>
      <w:bookmarkStart w:id="0" w:name="_Hlk70321911"/>
      <w:r w:rsidR="006F55AE" w:rsidRPr="00B43676">
        <w:rPr>
          <w:rFonts w:ascii="Georgia" w:hAnsi="Georgia"/>
          <w:sz w:val="22"/>
          <w:szCs w:val="22"/>
        </w:rPr>
        <w:t xml:space="preserve">Interested persons may contact Ana Kippenbrock at </w:t>
      </w:r>
      <w:hyperlink r:id="rId10" w:history="1">
        <w:r w:rsidR="006F55AE" w:rsidRPr="00B43676">
          <w:rPr>
            <w:rStyle w:val="Hyperlink"/>
            <w:rFonts w:ascii="Georgia" w:hAnsi="Georgia"/>
            <w:sz w:val="22"/>
            <w:szCs w:val="22"/>
          </w:rPr>
          <w:t>ana.kippenbrock@state.nm.us</w:t>
        </w:r>
      </w:hyperlink>
      <w:r w:rsidR="006F55AE" w:rsidRPr="00B43676">
        <w:rPr>
          <w:rFonts w:ascii="Georgia" w:hAnsi="Georgia"/>
          <w:sz w:val="22"/>
          <w:szCs w:val="22"/>
        </w:rPr>
        <w:t xml:space="preserve"> or 505-690-4191 for assistance in </w:t>
      </w:r>
      <w:r w:rsidR="006F55AE">
        <w:rPr>
          <w:rFonts w:ascii="Georgia" w:hAnsi="Georgia"/>
          <w:sz w:val="22"/>
          <w:szCs w:val="22"/>
        </w:rPr>
        <w:t>accessing</w:t>
      </w:r>
      <w:r w:rsidR="006F55AE" w:rsidRPr="00B43676">
        <w:rPr>
          <w:rFonts w:ascii="Georgia" w:hAnsi="Georgia"/>
          <w:sz w:val="22"/>
          <w:szCs w:val="22"/>
        </w:rPr>
        <w:t xml:space="preserve"> Edocket.</w:t>
      </w:r>
      <w:bookmarkEnd w:id="0"/>
    </w:p>
    <w:p w14:paraId="54E1BE16" w14:textId="03D941C0" w:rsidR="00A639C7" w:rsidRPr="009F4C50" w:rsidRDefault="009F4C50" w:rsidP="00A639C7">
      <w:pPr>
        <w:numPr>
          <w:ilvl w:val="0"/>
          <w:numId w:val="11"/>
        </w:numPr>
        <w:spacing w:line="480" w:lineRule="auto"/>
        <w:ind w:left="0" w:firstLine="720"/>
        <w:jc w:val="both"/>
      </w:pPr>
      <w:r w:rsidRPr="009F4C50">
        <w:t xml:space="preserve">Interested persons who are not affiliated with a party may make written or oral comments without becoming intervenors.  Oral comments will be entertained only at the 9:00 a.m. start of the hearing on July 21, 2021 and will be limited to three minutes per commenter.  Persons wishing to make an oral comment must register in advance, not later than noon on July 20, 2021, by emailing Ana Kippenbrock at </w:t>
      </w:r>
      <w:hyperlink r:id="rId11" w:history="1">
        <w:r w:rsidRPr="009F4C50">
          <w:rPr>
            <w:rStyle w:val="Hyperlink"/>
          </w:rPr>
          <w:t>ana.kippenbrock@state.nm.us</w:t>
        </w:r>
      </w:hyperlink>
      <w:r w:rsidRPr="009F4C50">
        <w:t xml:space="preserve">.  Written comments may be submitted before the Commission takes final action by sending the comment electronically to </w:t>
      </w:r>
      <w:hyperlink r:id="rId12" w:history="1">
        <w:r w:rsidRPr="009F4C50">
          <w:rPr>
            <w:rStyle w:val="Hyperlink"/>
          </w:rPr>
          <w:t>prc.records@state.nm.us</w:t>
        </w:r>
      </w:hyperlink>
      <w:r w:rsidRPr="009F4C50">
        <w:t>.  Pursuant to 1.2.2.23(F) NMAC, comments shall not be considered evidence.</w:t>
      </w:r>
    </w:p>
    <w:p w14:paraId="7E214003" w14:textId="5CC295F5" w:rsidR="00A639C7" w:rsidRDefault="00A639C7" w:rsidP="00A639C7">
      <w:pPr>
        <w:numPr>
          <w:ilvl w:val="0"/>
          <w:numId w:val="11"/>
        </w:numPr>
        <w:spacing w:line="480" w:lineRule="auto"/>
        <w:ind w:left="0" w:firstLine="720"/>
        <w:jc w:val="both"/>
      </w:pPr>
      <w:r>
        <w:lastRenderedPageBreak/>
        <w:t>Pleadings, testimony and other documents shall also be served on all parties of record and Staff in the way or ways specified in the most recent Certificate of Service issued in this case by the Hearing Examiner.  Copies of all filings shall also be emailed on the date of filing and serv</w:t>
      </w:r>
      <w:r w:rsidR="00E37CD6">
        <w:t>ice to the Hearing Examiner at</w:t>
      </w:r>
      <w:r w:rsidR="009F4C50">
        <w:t xml:space="preserve"> Carolyn.glick@state.nm.us</w:t>
      </w:r>
      <w:r>
        <w:t>.  All documents emailed to the Hearing Examiner shall also include versions created in Microsoft Word or other native formats if available.</w:t>
      </w:r>
    </w:p>
    <w:p w14:paraId="1B3BBCA2" w14:textId="59D803EF" w:rsidR="00A639C7" w:rsidRDefault="00A639C7" w:rsidP="00A639C7">
      <w:pPr>
        <w:numPr>
          <w:ilvl w:val="0"/>
          <w:numId w:val="11"/>
        </w:numPr>
        <w:spacing w:line="480" w:lineRule="auto"/>
        <w:ind w:left="0" w:firstLine="720"/>
        <w:jc w:val="both"/>
      </w:pPr>
      <w:r w:rsidRPr="003E384D">
        <w:t xml:space="preserve">Any person whose testimony has been filed </w:t>
      </w:r>
      <w:r w:rsidR="00EF7A25">
        <w:t>shall</w:t>
      </w:r>
      <w:r w:rsidRPr="003E384D">
        <w:t xml:space="preserve"> attend the hearing and submit to examination under oath.</w:t>
      </w:r>
    </w:p>
    <w:p w14:paraId="5521B36B" w14:textId="05F89E17" w:rsidR="00A639C7" w:rsidRDefault="00A639C7" w:rsidP="00A639C7">
      <w:pPr>
        <w:numPr>
          <w:ilvl w:val="0"/>
          <w:numId w:val="11"/>
        </w:numPr>
        <w:spacing w:line="480" w:lineRule="auto"/>
        <w:ind w:left="0" w:firstLine="720"/>
        <w:jc w:val="both"/>
      </w:pPr>
      <w:r w:rsidRPr="003E384D">
        <w:t xml:space="preserve">Interested persons should contact the Commission </w:t>
      </w:r>
      <w:r>
        <w:t xml:space="preserve">at 505-690-4191 </w:t>
      </w:r>
      <w:r w:rsidRPr="003E384D">
        <w:t>for confirmation of the hearing dates, times and places, since hearings are occasionally rescheduled.</w:t>
      </w:r>
    </w:p>
    <w:p w14:paraId="1C7C871C" w14:textId="30A00550" w:rsidR="00645AD3" w:rsidRPr="00EF7A25" w:rsidRDefault="00A639C7" w:rsidP="00EF7A25">
      <w:pPr>
        <w:numPr>
          <w:ilvl w:val="0"/>
          <w:numId w:val="11"/>
        </w:numPr>
        <w:spacing w:line="480" w:lineRule="auto"/>
        <w:ind w:left="0" w:firstLine="720"/>
        <w:jc w:val="both"/>
      </w:pPr>
      <w:r w:rsidRPr="00EF7A25">
        <w:t xml:space="preserve">Any person with a disability requiring special assistance to participate in this proceeding should </w:t>
      </w:r>
      <w:r w:rsidR="007E38A8" w:rsidRPr="00EF7A25">
        <w:t>contact the hearing examiner at Carolyn.glick@state.nm.us at least 24 hours before the hearing begins.</w:t>
      </w:r>
    </w:p>
    <w:p w14:paraId="77F74AA3" w14:textId="7E4C3762" w:rsidR="00645AD3" w:rsidRPr="008E30CF" w:rsidRDefault="00A639C7" w:rsidP="00645AD3">
      <w:pPr>
        <w:pStyle w:val="ListParagraph"/>
        <w:tabs>
          <w:tab w:val="left" w:pos="810"/>
        </w:tabs>
        <w:spacing w:line="480" w:lineRule="auto"/>
        <w:ind w:left="1170"/>
        <w:rPr>
          <w:w w:val="105"/>
        </w:rPr>
      </w:pPr>
      <w:r>
        <w:rPr>
          <w:b/>
          <w:w w:val="105"/>
        </w:rPr>
        <w:t>I</w:t>
      </w:r>
      <w:r w:rsidR="00645AD3" w:rsidRPr="008E30CF">
        <w:rPr>
          <w:b/>
          <w:w w:val="105"/>
        </w:rPr>
        <w:t>SSUED</w:t>
      </w:r>
      <w:r w:rsidR="00645AD3" w:rsidRPr="008E30CF">
        <w:rPr>
          <w:w w:val="105"/>
        </w:rPr>
        <w:t xml:space="preserve"> at Santa Fe, New Mexico</w:t>
      </w:r>
      <w:r w:rsidR="007E38A8">
        <w:rPr>
          <w:w w:val="105"/>
        </w:rPr>
        <w:t xml:space="preserve"> on April 26,</w:t>
      </w:r>
      <w:r w:rsidR="00F7382F">
        <w:rPr>
          <w:w w:val="105"/>
        </w:rPr>
        <w:t xml:space="preserve"> 2021</w:t>
      </w:r>
      <w:r w:rsidR="00645AD3" w:rsidRPr="008E30CF">
        <w:rPr>
          <w:w w:val="105"/>
        </w:rPr>
        <w:t>.</w:t>
      </w:r>
    </w:p>
    <w:p w14:paraId="7FC28133" w14:textId="5F5DC83E" w:rsidR="00645AD3" w:rsidRPr="007E38A8" w:rsidRDefault="00645AD3" w:rsidP="007E38A8">
      <w:pPr>
        <w:pStyle w:val="ListParagraph"/>
        <w:tabs>
          <w:tab w:val="left" w:pos="810"/>
        </w:tabs>
        <w:spacing w:line="480" w:lineRule="auto"/>
        <w:ind w:left="1170"/>
        <w:rPr>
          <w:b/>
          <w:w w:val="105"/>
        </w:rPr>
      </w:pPr>
      <w:r>
        <w:rPr>
          <w:w w:val="105"/>
        </w:rPr>
        <w:tab/>
      </w:r>
      <w:r>
        <w:rPr>
          <w:w w:val="105"/>
        </w:rPr>
        <w:tab/>
      </w:r>
      <w:r w:rsidR="004B39AD" w:rsidRPr="00901D5A">
        <w:rPr>
          <w:b/>
          <w:w w:val="105"/>
        </w:rPr>
        <w:t>NEW MEXICO PUBLIC REGULATION COMMISSION</w:t>
      </w:r>
    </w:p>
    <w:p w14:paraId="63E37C42" w14:textId="2CB8227A" w:rsidR="00645AD3" w:rsidRPr="007E38A8" w:rsidRDefault="00645AD3" w:rsidP="007E38A8">
      <w:pPr>
        <w:pStyle w:val="ListParagraph"/>
        <w:tabs>
          <w:tab w:val="left" w:pos="810"/>
          <w:tab w:val="left" w:pos="1440"/>
          <w:tab w:val="left" w:pos="2160"/>
          <w:tab w:val="left" w:pos="2880"/>
          <w:tab w:val="left" w:pos="3600"/>
          <w:tab w:val="left" w:pos="4320"/>
          <w:tab w:val="left" w:pos="5040"/>
          <w:tab w:val="left" w:pos="5760"/>
          <w:tab w:val="left" w:pos="8050"/>
        </w:tabs>
        <w:ind w:left="810"/>
        <w:rPr>
          <w:b/>
          <w:i/>
          <w:iCs/>
          <w:u w:val="single"/>
        </w:rPr>
      </w:pPr>
      <w:r w:rsidRPr="00901D5A">
        <w:rPr>
          <w:b/>
        </w:rPr>
        <w:tab/>
      </w:r>
      <w:r w:rsidRPr="00901D5A">
        <w:rPr>
          <w:b/>
        </w:rPr>
        <w:tab/>
      </w:r>
      <w:r w:rsidR="007E38A8">
        <w:rPr>
          <w:b/>
          <w:i/>
          <w:iCs/>
          <w:u w:val="single"/>
        </w:rPr>
        <w:t>/s Carolyn R. Glick</w:t>
      </w:r>
      <w:r w:rsidR="007E38A8">
        <w:rPr>
          <w:b/>
          <w:i/>
          <w:iCs/>
          <w:u w:val="single"/>
        </w:rPr>
        <w:tab/>
      </w:r>
      <w:r w:rsidR="007E38A8">
        <w:rPr>
          <w:b/>
          <w:i/>
          <w:iCs/>
          <w:u w:val="single"/>
        </w:rPr>
        <w:tab/>
      </w:r>
      <w:r w:rsidR="007E38A8">
        <w:rPr>
          <w:b/>
          <w:i/>
          <w:iCs/>
          <w:u w:val="single"/>
        </w:rPr>
        <w:tab/>
      </w:r>
      <w:r w:rsidR="007E38A8">
        <w:rPr>
          <w:b/>
          <w:i/>
          <w:iCs/>
          <w:u w:val="single"/>
        </w:rPr>
        <w:tab/>
      </w:r>
    </w:p>
    <w:p w14:paraId="6BB1C7AB" w14:textId="6DB0C312" w:rsidR="00736B9B" w:rsidRDefault="004B39AD" w:rsidP="007E38A8">
      <w:pPr>
        <w:pStyle w:val="BodyText"/>
        <w:spacing w:before="4"/>
        <w:ind w:left="2160"/>
        <w:contextualSpacing/>
        <w:jc w:val="both"/>
        <w:rPr>
          <w:b/>
          <w:bCs/>
        </w:rPr>
      </w:pPr>
      <w:r w:rsidRPr="004B39AD">
        <w:rPr>
          <w:b/>
          <w:bCs/>
        </w:rPr>
        <w:t>Carolyn R. Glick, Hearing Examiner</w:t>
      </w:r>
    </w:p>
    <w:sectPr w:rsidR="00736B9B" w:rsidSect="00E85FBF">
      <w:footerReference w:type="even" r:id="rId13"/>
      <w:footerReference w:type="default" r:id="rId14"/>
      <w:pgSz w:w="12240" w:h="15840"/>
      <w:pgMar w:top="1440" w:right="1714" w:bottom="1440" w:left="172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07501" w14:textId="77777777" w:rsidR="003D2DBA" w:rsidRDefault="003D2DBA">
      <w:r>
        <w:separator/>
      </w:r>
    </w:p>
  </w:endnote>
  <w:endnote w:type="continuationSeparator" w:id="0">
    <w:p w14:paraId="48A9CD6C" w14:textId="77777777" w:rsidR="003D2DBA" w:rsidRDefault="003D2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45D07" w14:textId="77777777" w:rsidR="00614E79" w:rsidRDefault="00A12D18">
    <w:pPr>
      <w:pStyle w:val="Footer"/>
      <w:framePr w:wrap="around" w:vAnchor="text" w:hAnchor="margin" w:xAlign="center" w:y="1"/>
      <w:rPr>
        <w:rStyle w:val="PageNumber"/>
      </w:rPr>
    </w:pPr>
    <w:r>
      <w:rPr>
        <w:rStyle w:val="PageNumber"/>
      </w:rPr>
      <w:fldChar w:fldCharType="begin"/>
    </w:r>
    <w:r w:rsidR="00614E79">
      <w:rPr>
        <w:rStyle w:val="PageNumber"/>
      </w:rPr>
      <w:instrText xml:space="preserve">PAGE  </w:instrText>
    </w:r>
    <w:r>
      <w:rPr>
        <w:rStyle w:val="PageNumber"/>
      </w:rPr>
      <w:fldChar w:fldCharType="end"/>
    </w:r>
  </w:p>
  <w:p w14:paraId="4E01D0CD" w14:textId="77777777" w:rsidR="00614E79" w:rsidRDefault="00614E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D160E" w14:textId="77777777" w:rsidR="00614E79" w:rsidRPr="00F04E56" w:rsidRDefault="00A12D18">
    <w:pPr>
      <w:pStyle w:val="Footer"/>
      <w:framePr w:wrap="around" w:vAnchor="text" w:hAnchor="margin" w:xAlign="center" w:y="1"/>
      <w:rPr>
        <w:rStyle w:val="PageNumber"/>
      </w:rPr>
    </w:pPr>
    <w:r w:rsidRPr="00F04E56">
      <w:rPr>
        <w:rStyle w:val="PageNumber"/>
      </w:rPr>
      <w:fldChar w:fldCharType="begin"/>
    </w:r>
    <w:r w:rsidR="00614E79" w:rsidRPr="00F04E56">
      <w:rPr>
        <w:rStyle w:val="PageNumber"/>
      </w:rPr>
      <w:instrText xml:space="preserve">PAGE  </w:instrText>
    </w:r>
    <w:r w:rsidRPr="00F04E56">
      <w:rPr>
        <w:rStyle w:val="PageNumber"/>
      </w:rPr>
      <w:fldChar w:fldCharType="separate"/>
    </w:r>
    <w:r w:rsidR="009D1344">
      <w:rPr>
        <w:rStyle w:val="PageNumber"/>
        <w:noProof/>
      </w:rPr>
      <w:t>4</w:t>
    </w:r>
    <w:r w:rsidRPr="00F04E56">
      <w:rPr>
        <w:rStyle w:val="PageNumber"/>
      </w:rPr>
      <w:fldChar w:fldCharType="end"/>
    </w:r>
  </w:p>
  <w:p w14:paraId="11F3F2F3" w14:textId="6E9521C8" w:rsidR="00614E79" w:rsidRDefault="004B39AD">
    <w:pPr>
      <w:pStyle w:val="Footer"/>
    </w:pPr>
    <w:r>
      <w:t>Notice to EPE Customers</w:t>
    </w:r>
  </w:p>
  <w:p w14:paraId="6A3DE153" w14:textId="5B56F528" w:rsidR="004B39AD" w:rsidRPr="00F04E56" w:rsidRDefault="004B39AD">
    <w:pPr>
      <w:pStyle w:val="Footer"/>
    </w:pPr>
    <w:r>
      <w:t>Case No. 21-00064-UT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4ABBD" w14:textId="77777777" w:rsidR="003D2DBA" w:rsidRDefault="003D2DBA">
      <w:pPr>
        <w:rPr>
          <w:noProof/>
        </w:rPr>
      </w:pPr>
      <w:r>
        <w:rPr>
          <w:noProof/>
        </w:rPr>
        <w:separator/>
      </w:r>
    </w:p>
  </w:footnote>
  <w:footnote w:type="continuationSeparator" w:id="0">
    <w:p w14:paraId="600F33FA" w14:textId="77777777" w:rsidR="003D2DBA" w:rsidRDefault="003D2D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168" w:hanging="360"/>
      </w:pPr>
      <w:rPr>
        <w:rFonts w:ascii="Times New Roman" w:hAnsi="Times New Roman" w:cs="Times New Roman"/>
        <w:b w:val="0"/>
        <w:bCs w:val="0"/>
        <w:w w:val="100"/>
        <w:sz w:val="24"/>
        <w:szCs w:val="24"/>
      </w:rPr>
    </w:lvl>
    <w:lvl w:ilvl="1">
      <w:numFmt w:val="bullet"/>
      <w:lvlText w:val="•"/>
      <w:lvlJc w:val="left"/>
      <w:pPr>
        <w:ind w:left="1194" w:hanging="360"/>
      </w:pPr>
    </w:lvl>
    <w:lvl w:ilvl="2">
      <w:numFmt w:val="bullet"/>
      <w:lvlText w:val="•"/>
      <w:lvlJc w:val="left"/>
      <w:pPr>
        <w:ind w:left="2228" w:hanging="360"/>
      </w:pPr>
    </w:lvl>
    <w:lvl w:ilvl="3">
      <w:numFmt w:val="bullet"/>
      <w:lvlText w:val="•"/>
      <w:lvlJc w:val="left"/>
      <w:pPr>
        <w:ind w:left="3262" w:hanging="360"/>
      </w:pPr>
    </w:lvl>
    <w:lvl w:ilvl="4">
      <w:numFmt w:val="bullet"/>
      <w:lvlText w:val="•"/>
      <w:lvlJc w:val="left"/>
      <w:pPr>
        <w:ind w:left="4296" w:hanging="360"/>
      </w:pPr>
    </w:lvl>
    <w:lvl w:ilvl="5">
      <w:numFmt w:val="bullet"/>
      <w:lvlText w:val="•"/>
      <w:lvlJc w:val="left"/>
      <w:pPr>
        <w:ind w:left="5330" w:hanging="360"/>
      </w:pPr>
    </w:lvl>
    <w:lvl w:ilvl="6">
      <w:numFmt w:val="bullet"/>
      <w:lvlText w:val="•"/>
      <w:lvlJc w:val="left"/>
      <w:pPr>
        <w:ind w:left="6364" w:hanging="360"/>
      </w:pPr>
    </w:lvl>
    <w:lvl w:ilvl="7">
      <w:numFmt w:val="bullet"/>
      <w:lvlText w:val="•"/>
      <w:lvlJc w:val="left"/>
      <w:pPr>
        <w:ind w:left="7398" w:hanging="360"/>
      </w:pPr>
    </w:lvl>
    <w:lvl w:ilvl="8">
      <w:numFmt w:val="bullet"/>
      <w:lvlText w:val="•"/>
      <w:lvlJc w:val="left"/>
      <w:pPr>
        <w:ind w:left="8432" w:hanging="360"/>
      </w:pPr>
    </w:lvl>
  </w:abstractNum>
  <w:abstractNum w:abstractNumId="1" w15:restartNumberingAfterBreak="0">
    <w:nsid w:val="03C708CF"/>
    <w:multiLevelType w:val="hybridMultilevel"/>
    <w:tmpl w:val="4A307B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50A2F"/>
    <w:multiLevelType w:val="hybridMultilevel"/>
    <w:tmpl w:val="137CCA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343706"/>
    <w:multiLevelType w:val="hybridMultilevel"/>
    <w:tmpl w:val="07A81934"/>
    <w:lvl w:ilvl="0" w:tplc="FFFFFFFF">
      <w:start w:val="1"/>
      <w:numFmt w:val="decimal"/>
      <w:lvlText w:val="%1."/>
      <w:lvlJc w:val="left"/>
      <w:pPr>
        <w:tabs>
          <w:tab w:val="num" w:pos="1080"/>
        </w:tabs>
        <w:ind w:left="0" w:firstLine="72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3E73D22"/>
    <w:multiLevelType w:val="multilevel"/>
    <w:tmpl w:val="CA7C8AE4"/>
    <w:lvl w:ilvl="0">
      <w:start w:val="1"/>
      <w:numFmt w:val="upperRoman"/>
      <w:pStyle w:val="Heading1"/>
      <w:lvlText w:val="%1."/>
      <w:lvlJc w:val="left"/>
      <w:pPr>
        <w:tabs>
          <w:tab w:val="num" w:pos="720"/>
        </w:tabs>
        <w:ind w:left="0" w:firstLine="0"/>
      </w:pPr>
      <w:rPr>
        <w:rFonts w:hint="default"/>
      </w:rPr>
    </w:lvl>
    <w:lvl w:ilvl="1">
      <w:start w:val="1"/>
      <w:numFmt w:val="upperLetter"/>
      <w:pStyle w:val="Heading2"/>
      <w:lvlText w:val="%2."/>
      <w:lvlJc w:val="left"/>
      <w:pPr>
        <w:tabs>
          <w:tab w:val="num" w:pos="360"/>
        </w:tabs>
        <w:ind w:left="0" w:firstLine="0"/>
      </w:pPr>
      <w:rPr>
        <w:rFonts w:hint="default"/>
        <w:b/>
        <w:i w:val="0"/>
      </w:rPr>
    </w:lvl>
    <w:lvl w:ilvl="2">
      <w:start w:val="1"/>
      <w:numFmt w:val="decimal"/>
      <w:pStyle w:val="Heading3"/>
      <w:lvlText w:val="%3."/>
      <w:lvlJc w:val="left"/>
      <w:pPr>
        <w:tabs>
          <w:tab w:val="num" w:pos="1080"/>
        </w:tabs>
        <w:ind w:left="720" w:firstLine="0"/>
      </w:pPr>
      <w:rPr>
        <w:rFonts w:hint="default"/>
      </w:rPr>
    </w:lvl>
    <w:lvl w:ilvl="3">
      <w:start w:val="1"/>
      <w:numFmt w:val="lowerRoman"/>
      <w:pStyle w:val="Heading4"/>
      <w:lvlText w:val="%4)"/>
      <w:lvlJc w:val="left"/>
      <w:pPr>
        <w:tabs>
          <w:tab w:val="num" w:pos="2160"/>
        </w:tabs>
        <w:ind w:left="1440" w:firstLine="0"/>
      </w:pPr>
      <w:rPr>
        <w:rFonts w:hint="default"/>
      </w:rPr>
    </w:lvl>
    <w:lvl w:ilvl="4">
      <w:start w:val="1"/>
      <w:numFmt w:val="decimal"/>
      <w:lvlText w:val="(%5)"/>
      <w:lvlJc w:val="left"/>
      <w:pPr>
        <w:tabs>
          <w:tab w:val="num" w:pos="2520"/>
        </w:tabs>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396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400"/>
        </w:tabs>
        <w:ind w:left="5040" w:firstLine="0"/>
      </w:pPr>
      <w:rPr>
        <w:rFonts w:hint="default"/>
      </w:rPr>
    </w:lvl>
  </w:abstractNum>
  <w:abstractNum w:abstractNumId="5" w15:restartNumberingAfterBreak="0">
    <w:nsid w:val="168938FA"/>
    <w:multiLevelType w:val="hybridMultilevel"/>
    <w:tmpl w:val="04627D4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F1035BC"/>
    <w:multiLevelType w:val="hybridMultilevel"/>
    <w:tmpl w:val="66100E26"/>
    <w:lvl w:ilvl="0" w:tplc="2898D29E">
      <w:start w:val="1"/>
      <w:numFmt w:val="decimal"/>
      <w:lvlText w:val="%1."/>
      <w:lvlJc w:val="left"/>
      <w:pPr>
        <w:tabs>
          <w:tab w:val="num" w:pos="1080"/>
        </w:tabs>
        <w:ind w:left="360" w:firstLine="360"/>
      </w:pPr>
      <w:rPr>
        <w:b w:val="0"/>
      </w:rPr>
    </w:lvl>
    <w:lvl w:ilvl="1" w:tplc="04090003">
      <w:start w:val="1"/>
      <w:numFmt w:val="lowerLetter"/>
      <w:lvlText w:val="%2."/>
      <w:lvlJc w:val="left"/>
      <w:pPr>
        <w:tabs>
          <w:tab w:val="num" w:pos="1800"/>
        </w:tabs>
        <w:ind w:left="1800" w:hanging="360"/>
      </w:pPr>
    </w:lvl>
    <w:lvl w:ilvl="2" w:tplc="04090005">
      <w:start w:val="1"/>
      <w:numFmt w:val="lowerRoman"/>
      <w:lvlText w:val="%3."/>
      <w:lvlJc w:val="right"/>
      <w:pPr>
        <w:tabs>
          <w:tab w:val="num" w:pos="2520"/>
        </w:tabs>
        <w:ind w:left="2520" w:hanging="180"/>
      </w:pPr>
    </w:lvl>
    <w:lvl w:ilvl="3" w:tplc="04090001">
      <w:start w:val="1"/>
      <w:numFmt w:val="decimal"/>
      <w:lvlText w:val="%4."/>
      <w:lvlJc w:val="left"/>
      <w:pPr>
        <w:tabs>
          <w:tab w:val="num" w:pos="3240"/>
        </w:tabs>
        <w:ind w:left="3240" w:hanging="360"/>
      </w:pPr>
    </w:lvl>
    <w:lvl w:ilvl="4" w:tplc="04090003">
      <w:start w:val="1"/>
      <w:numFmt w:val="lowerLetter"/>
      <w:lvlText w:val="%5."/>
      <w:lvlJc w:val="left"/>
      <w:pPr>
        <w:tabs>
          <w:tab w:val="num" w:pos="3960"/>
        </w:tabs>
        <w:ind w:left="3960" w:hanging="360"/>
      </w:pPr>
    </w:lvl>
    <w:lvl w:ilvl="5" w:tplc="04090005">
      <w:start w:val="1"/>
      <w:numFmt w:val="lowerRoman"/>
      <w:lvlText w:val="%6."/>
      <w:lvlJc w:val="right"/>
      <w:pPr>
        <w:tabs>
          <w:tab w:val="num" w:pos="4680"/>
        </w:tabs>
        <w:ind w:left="4680" w:hanging="180"/>
      </w:pPr>
    </w:lvl>
    <w:lvl w:ilvl="6" w:tplc="04090001">
      <w:start w:val="1"/>
      <w:numFmt w:val="decimal"/>
      <w:lvlText w:val="%7."/>
      <w:lvlJc w:val="left"/>
      <w:pPr>
        <w:tabs>
          <w:tab w:val="num" w:pos="5400"/>
        </w:tabs>
        <w:ind w:left="5400" w:hanging="360"/>
      </w:pPr>
    </w:lvl>
    <w:lvl w:ilvl="7" w:tplc="04090003">
      <w:start w:val="1"/>
      <w:numFmt w:val="lowerLetter"/>
      <w:lvlText w:val="%8."/>
      <w:lvlJc w:val="left"/>
      <w:pPr>
        <w:tabs>
          <w:tab w:val="num" w:pos="6120"/>
        </w:tabs>
        <w:ind w:left="6120" w:hanging="360"/>
      </w:pPr>
    </w:lvl>
    <w:lvl w:ilvl="8" w:tplc="04090005">
      <w:start w:val="1"/>
      <w:numFmt w:val="lowerRoman"/>
      <w:lvlText w:val="%9."/>
      <w:lvlJc w:val="right"/>
      <w:pPr>
        <w:tabs>
          <w:tab w:val="num" w:pos="6840"/>
        </w:tabs>
        <w:ind w:left="6840" w:hanging="180"/>
      </w:pPr>
    </w:lvl>
  </w:abstractNum>
  <w:abstractNum w:abstractNumId="7" w15:restartNumberingAfterBreak="0">
    <w:nsid w:val="41052823"/>
    <w:multiLevelType w:val="hybridMultilevel"/>
    <w:tmpl w:val="CE2E3716"/>
    <w:lvl w:ilvl="0" w:tplc="B330CF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2C83C39"/>
    <w:multiLevelType w:val="hybridMultilevel"/>
    <w:tmpl w:val="74B81D98"/>
    <w:lvl w:ilvl="0" w:tplc="F0161D60">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50616CF8"/>
    <w:multiLevelType w:val="hybridMultilevel"/>
    <w:tmpl w:val="249CFA90"/>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DE6742"/>
    <w:multiLevelType w:val="hybridMultilevel"/>
    <w:tmpl w:val="C958E4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C45268"/>
    <w:multiLevelType w:val="hybridMultilevel"/>
    <w:tmpl w:val="3E1E63F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7CC7EE4"/>
    <w:multiLevelType w:val="hybridMultilevel"/>
    <w:tmpl w:val="E334C046"/>
    <w:lvl w:ilvl="0" w:tplc="EA6A86BA">
      <w:start w:val="1"/>
      <w:numFmt w:val="upperLetter"/>
      <w:lvlText w:val="%1."/>
      <w:lvlJc w:val="left"/>
      <w:pPr>
        <w:ind w:left="990" w:hanging="360"/>
      </w:pPr>
      <w:rPr>
        <w:rFonts w:ascii="Georgia" w:hAnsi="Georgia"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15:restartNumberingAfterBreak="0">
    <w:nsid w:val="5A610CBA"/>
    <w:multiLevelType w:val="hybridMultilevel"/>
    <w:tmpl w:val="C602ACF0"/>
    <w:lvl w:ilvl="0" w:tplc="101C413E">
      <w:start w:val="1"/>
      <w:numFmt w:val="decimal"/>
      <w:lvlText w:val="%1."/>
      <w:lvlJc w:val="left"/>
      <w:pPr>
        <w:ind w:left="1170" w:hanging="360"/>
      </w:pPr>
      <w:rPr>
        <w:rFonts w:ascii="Times New Roman" w:eastAsia="Times New Roman" w:hAnsi="Times New Roman" w:cs="Times New Roman"/>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60B679FA"/>
    <w:multiLevelType w:val="hybridMultilevel"/>
    <w:tmpl w:val="5D74A7CC"/>
    <w:lvl w:ilvl="0" w:tplc="FFFFFFFF">
      <w:start w:val="1"/>
      <w:numFmt w:val="decimal"/>
      <w:lvlText w:val="%1)"/>
      <w:lvlJc w:val="left"/>
      <w:pPr>
        <w:tabs>
          <w:tab w:val="num" w:pos="2160"/>
        </w:tabs>
        <w:ind w:left="21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6480586E"/>
    <w:multiLevelType w:val="hybridMultilevel"/>
    <w:tmpl w:val="999A4300"/>
    <w:lvl w:ilvl="0" w:tplc="E4C03FA8">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662021"/>
    <w:multiLevelType w:val="hybridMultilevel"/>
    <w:tmpl w:val="7B6C536E"/>
    <w:lvl w:ilvl="0" w:tplc="04090013">
      <w:start w:val="1"/>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6F2869"/>
    <w:multiLevelType w:val="hybridMultilevel"/>
    <w:tmpl w:val="C414B13A"/>
    <w:lvl w:ilvl="0" w:tplc="CD248716">
      <w:start w:val="6"/>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15:restartNumberingAfterBreak="0">
    <w:nsid w:val="78397788"/>
    <w:multiLevelType w:val="hybridMultilevel"/>
    <w:tmpl w:val="9B5A7316"/>
    <w:lvl w:ilvl="0" w:tplc="B196749E">
      <w:start w:val="1"/>
      <w:numFmt w:val="decimal"/>
      <w:lvlText w:val="(%1)"/>
      <w:lvlJc w:val="left"/>
      <w:pPr>
        <w:ind w:left="720" w:hanging="360"/>
      </w:pPr>
      <w:rPr>
        <w:rFonts w:ascii="Times New Roman" w:eastAsia="Times New Roman" w:hAnsi="Times New Roman" w:cs="Times New Roman"/>
      </w:rPr>
    </w:lvl>
    <w:lvl w:ilvl="1" w:tplc="04090017">
      <w:start w:val="1"/>
      <w:numFmt w:val="lowerLetter"/>
      <w:lvlText w:val="%2)"/>
      <w:lvlJc w:val="left"/>
      <w:pPr>
        <w:ind w:left="1440" w:hanging="360"/>
      </w:pPr>
    </w:lvl>
    <w:lvl w:ilvl="2" w:tplc="04090003">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6"/>
  </w:num>
  <w:num w:numId="4">
    <w:abstractNumId w:val="18"/>
  </w:num>
  <w:num w:numId="5">
    <w:abstractNumId w:val="16"/>
  </w:num>
  <w:num w:numId="6">
    <w:abstractNumId w:val="9"/>
  </w:num>
  <w:num w:numId="7">
    <w:abstractNumId w:val="15"/>
  </w:num>
  <w:num w:numId="8">
    <w:abstractNumId w:val="7"/>
  </w:num>
  <w:num w:numId="9">
    <w:abstractNumId w:val="11"/>
  </w:num>
  <w:num w:numId="10">
    <w:abstractNumId w:val="8"/>
  </w:num>
  <w:num w:numId="11">
    <w:abstractNumId w:val="1"/>
  </w:num>
  <w:num w:numId="12">
    <w:abstractNumId w:val="13"/>
  </w:num>
  <w:num w:numId="13">
    <w:abstractNumId w:val="17"/>
  </w:num>
  <w:num w:numId="14">
    <w:abstractNumId w:val="2"/>
  </w:num>
  <w:num w:numId="15">
    <w:abstractNumId w:val="10"/>
  </w:num>
  <w:num w:numId="16">
    <w:abstractNumId w:val="3"/>
  </w:num>
  <w:num w:numId="17">
    <w:abstractNumId w:val="14"/>
  </w:num>
  <w:num w:numId="18">
    <w:abstractNumId w:val="5"/>
  </w:num>
  <w:num w:numId="19">
    <w:abstractNumId w:val="0"/>
  </w:num>
  <w:num w:numId="20">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C01"/>
    <w:rsid w:val="00001E87"/>
    <w:rsid w:val="00015691"/>
    <w:rsid w:val="00017476"/>
    <w:rsid w:val="00017AAB"/>
    <w:rsid w:val="00023024"/>
    <w:rsid w:val="00023121"/>
    <w:rsid w:val="00044A52"/>
    <w:rsid w:val="00046C9C"/>
    <w:rsid w:val="00054C4F"/>
    <w:rsid w:val="0005567A"/>
    <w:rsid w:val="00074FEC"/>
    <w:rsid w:val="00075596"/>
    <w:rsid w:val="00082F46"/>
    <w:rsid w:val="00090E36"/>
    <w:rsid w:val="00091A24"/>
    <w:rsid w:val="00094AEB"/>
    <w:rsid w:val="00094C01"/>
    <w:rsid w:val="000A4A5F"/>
    <w:rsid w:val="000A7708"/>
    <w:rsid w:val="000B02EF"/>
    <w:rsid w:val="000B3FEE"/>
    <w:rsid w:val="000C40EF"/>
    <w:rsid w:val="000D18AB"/>
    <w:rsid w:val="000D3C61"/>
    <w:rsid w:val="000D4493"/>
    <w:rsid w:val="000E2549"/>
    <w:rsid w:val="000E3FC8"/>
    <w:rsid w:val="000F41A6"/>
    <w:rsid w:val="000F4D1B"/>
    <w:rsid w:val="000F4E3E"/>
    <w:rsid w:val="000F7647"/>
    <w:rsid w:val="000F7BC0"/>
    <w:rsid w:val="001168D0"/>
    <w:rsid w:val="00120362"/>
    <w:rsid w:val="00125269"/>
    <w:rsid w:val="00132E2A"/>
    <w:rsid w:val="00133FDB"/>
    <w:rsid w:val="0015560A"/>
    <w:rsid w:val="00165B8E"/>
    <w:rsid w:val="00171EF4"/>
    <w:rsid w:val="001763E2"/>
    <w:rsid w:val="00176AD3"/>
    <w:rsid w:val="00186692"/>
    <w:rsid w:val="00186EEE"/>
    <w:rsid w:val="001A7022"/>
    <w:rsid w:val="001B012C"/>
    <w:rsid w:val="001B081C"/>
    <w:rsid w:val="001B0F71"/>
    <w:rsid w:val="001C13E0"/>
    <w:rsid w:val="001C1722"/>
    <w:rsid w:val="001C2496"/>
    <w:rsid w:val="001C5045"/>
    <w:rsid w:val="001D4E46"/>
    <w:rsid w:val="001D6CD3"/>
    <w:rsid w:val="001E03DA"/>
    <w:rsid w:val="001F3BFC"/>
    <w:rsid w:val="001F4B2E"/>
    <w:rsid w:val="00204E18"/>
    <w:rsid w:val="002063DD"/>
    <w:rsid w:val="00211E12"/>
    <w:rsid w:val="00213692"/>
    <w:rsid w:val="00213DBF"/>
    <w:rsid w:val="00216725"/>
    <w:rsid w:val="00217DCA"/>
    <w:rsid w:val="00225894"/>
    <w:rsid w:val="00236FB1"/>
    <w:rsid w:val="0024114D"/>
    <w:rsid w:val="00242437"/>
    <w:rsid w:val="00245FB9"/>
    <w:rsid w:val="00250FB3"/>
    <w:rsid w:val="0026107F"/>
    <w:rsid w:val="00262039"/>
    <w:rsid w:val="00272D55"/>
    <w:rsid w:val="002772FE"/>
    <w:rsid w:val="00281222"/>
    <w:rsid w:val="00294DDF"/>
    <w:rsid w:val="002A1EAE"/>
    <w:rsid w:val="002A37DD"/>
    <w:rsid w:val="002A40AC"/>
    <w:rsid w:val="002B5172"/>
    <w:rsid w:val="002C6C36"/>
    <w:rsid w:val="002C7994"/>
    <w:rsid w:val="002D5C0A"/>
    <w:rsid w:val="002D696E"/>
    <w:rsid w:val="002E1535"/>
    <w:rsid w:val="002E57A9"/>
    <w:rsid w:val="002F37F8"/>
    <w:rsid w:val="002F74E7"/>
    <w:rsid w:val="00301CD5"/>
    <w:rsid w:val="00303EE6"/>
    <w:rsid w:val="003103A4"/>
    <w:rsid w:val="00320BAA"/>
    <w:rsid w:val="0032163E"/>
    <w:rsid w:val="00327631"/>
    <w:rsid w:val="003304EF"/>
    <w:rsid w:val="00331F78"/>
    <w:rsid w:val="00332285"/>
    <w:rsid w:val="00337431"/>
    <w:rsid w:val="00337B59"/>
    <w:rsid w:val="003462FB"/>
    <w:rsid w:val="00352543"/>
    <w:rsid w:val="00357B48"/>
    <w:rsid w:val="003660E5"/>
    <w:rsid w:val="003666AD"/>
    <w:rsid w:val="003744FD"/>
    <w:rsid w:val="00375728"/>
    <w:rsid w:val="003803E5"/>
    <w:rsid w:val="00393F50"/>
    <w:rsid w:val="003B2FEF"/>
    <w:rsid w:val="003B3593"/>
    <w:rsid w:val="003B5724"/>
    <w:rsid w:val="003B610F"/>
    <w:rsid w:val="003B626E"/>
    <w:rsid w:val="003C1543"/>
    <w:rsid w:val="003C6958"/>
    <w:rsid w:val="003D14FB"/>
    <w:rsid w:val="003D1E2E"/>
    <w:rsid w:val="003D2DBA"/>
    <w:rsid w:val="003F1F9C"/>
    <w:rsid w:val="003F4B22"/>
    <w:rsid w:val="003F7705"/>
    <w:rsid w:val="00402A5E"/>
    <w:rsid w:val="00411BF7"/>
    <w:rsid w:val="00425F97"/>
    <w:rsid w:val="00434486"/>
    <w:rsid w:val="004370A1"/>
    <w:rsid w:val="004440CF"/>
    <w:rsid w:val="00445EDE"/>
    <w:rsid w:val="00446DA3"/>
    <w:rsid w:val="00451BA9"/>
    <w:rsid w:val="00452CC6"/>
    <w:rsid w:val="004602DD"/>
    <w:rsid w:val="004742A5"/>
    <w:rsid w:val="00493F5A"/>
    <w:rsid w:val="00495401"/>
    <w:rsid w:val="004975CC"/>
    <w:rsid w:val="004A4248"/>
    <w:rsid w:val="004A6876"/>
    <w:rsid w:val="004B01FE"/>
    <w:rsid w:val="004B1E26"/>
    <w:rsid w:val="004B39AD"/>
    <w:rsid w:val="004B5558"/>
    <w:rsid w:val="004C2A5A"/>
    <w:rsid w:val="004C4ED5"/>
    <w:rsid w:val="004C55E4"/>
    <w:rsid w:val="004C778D"/>
    <w:rsid w:val="004D1F88"/>
    <w:rsid w:val="004D417C"/>
    <w:rsid w:val="004D58C2"/>
    <w:rsid w:val="004E50CE"/>
    <w:rsid w:val="004E5237"/>
    <w:rsid w:val="004F2F0A"/>
    <w:rsid w:val="004F5CD0"/>
    <w:rsid w:val="00507C24"/>
    <w:rsid w:val="00510157"/>
    <w:rsid w:val="0052432B"/>
    <w:rsid w:val="0052498A"/>
    <w:rsid w:val="00536FEE"/>
    <w:rsid w:val="0054359D"/>
    <w:rsid w:val="00547952"/>
    <w:rsid w:val="00553602"/>
    <w:rsid w:val="0058247E"/>
    <w:rsid w:val="00582A2D"/>
    <w:rsid w:val="00584DCE"/>
    <w:rsid w:val="005A4A45"/>
    <w:rsid w:val="005A5749"/>
    <w:rsid w:val="005B6B1E"/>
    <w:rsid w:val="005B6D65"/>
    <w:rsid w:val="005C75AB"/>
    <w:rsid w:val="005C794E"/>
    <w:rsid w:val="005D0B1E"/>
    <w:rsid w:val="005D5819"/>
    <w:rsid w:val="005E1ACB"/>
    <w:rsid w:val="005E74E4"/>
    <w:rsid w:val="005F30FB"/>
    <w:rsid w:val="005F40E8"/>
    <w:rsid w:val="005F5276"/>
    <w:rsid w:val="005F595F"/>
    <w:rsid w:val="006070AD"/>
    <w:rsid w:val="006103DB"/>
    <w:rsid w:val="006136B3"/>
    <w:rsid w:val="006137E1"/>
    <w:rsid w:val="00614E79"/>
    <w:rsid w:val="00615140"/>
    <w:rsid w:val="00623E32"/>
    <w:rsid w:val="00626DBD"/>
    <w:rsid w:val="006347C2"/>
    <w:rsid w:val="00645AD3"/>
    <w:rsid w:val="006502C5"/>
    <w:rsid w:val="0065033E"/>
    <w:rsid w:val="0065193C"/>
    <w:rsid w:val="00653276"/>
    <w:rsid w:val="006563D6"/>
    <w:rsid w:val="0066102F"/>
    <w:rsid w:val="00663853"/>
    <w:rsid w:val="00663A8A"/>
    <w:rsid w:val="00664593"/>
    <w:rsid w:val="00667113"/>
    <w:rsid w:val="0066781D"/>
    <w:rsid w:val="00676200"/>
    <w:rsid w:val="006849E6"/>
    <w:rsid w:val="00695E2D"/>
    <w:rsid w:val="006967D3"/>
    <w:rsid w:val="00697E98"/>
    <w:rsid w:val="006A29F1"/>
    <w:rsid w:val="006A5EF5"/>
    <w:rsid w:val="006B0CC9"/>
    <w:rsid w:val="006B63DD"/>
    <w:rsid w:val="006C280C"/>
    <w:rsid w:val="006D5091"/>
    <w:rsid w:val="006E26AA"/>
    <w:rsid w:val="006F55AE"/>
    <w:rsid w:val="00712587"/>
    <w:rsid w:val="00712AF7"/>
    <w:rsid w:val="00713CC7"/>
    <w:rsid w:val="00716BD9"/>
    <w:rsid w:val="00721CC0"/>
    <w:rsid w:val="00726F63"/>
    <w:rsid w:val="00731942"/>
    <w:rsid w:val="007347C9"/>
    <w:rsid w:val="00736B9B"/>
    <w:rsid w:val="00741352"/>
    <w:rsid w:val="007443C6"/>
    <w:rsid w:val="00745129"/>
    <w:rsid w:val="00747300"/>
    <w:rsid w:val="0074752E"/>
    <w:rsid w:val="007508B2"/>
    <w:rsid w:val="0075142F"/>
    <w:rsid w:val="0075356C"/>
    <w:rsid w:val="00767B0B"/>
    <w:rsid w:val="00770DC7"/>
    <w:rsid w:val="00776063"/>
    <w:rsid w:val="00776E29"/>
    <w:rsid w:val="007804FD"/>
    <w:rsid w:val="0078067D"/>
    <w:rsid w:val="00783528"/>
    <w:rsid w:val="00791789"/>
    <w:rsid w:val="00793D53"/>
    <w:rsid w:val="00793DFC"/>
    <w:rsid w:val="007A766F"/>
    <w:rsid w:val="007B53FF"/>
    <w:rsid w:val="007C25FF"/>
    <w:rsid w:val="007C5CAA"/>
    <w:rsid w:val="007E38A8"/>
    <w:rsid w:val="007E7529"/>
    <w:rsid w:val="007F22A6"/>
    <w:rsid w:val="007F502B"/>
    <w:rsid w:val="007F5D0F"/>
    <w:rsid w:val="007F66D9"/>
    <w:rsid w:val="008010B7"/>
    <w:rsid w:val="00803C9B"/>
    <w:rsid w:val="0080449E"/>
    <w:rsid w:val="008107D0"/>
    <w:rsid w:val="00815F5F"/>
    <w:rsid w:val="00816526"/>
    <w:rsid w:val="00827751"/>
    <w:rsid w:val="008373AE"/>
    <w:rsid w:val="0084783D"/>
    <w:rsid w:val="008519DA"/>
    <w:rsid w:val="008545E6"/>
    <w:rsid w:val="008567D0"/>
    <w:rsid w:val="00865431"/>
    <w:rsid w:val="0087311A"/>
    <w:rsid w:val="00876AF6"/>
    <w:rsid w:val="00877ACB"/>
    <w:rsid w:val="008846FD"/>
    <w:rsid w:val="0089057F"/>
    <w:rsid w:val="0089229E"/>
    <w:rsid w:val="0089352A"/>
    <w:rsid w:val="00894F1C"/>
    <w:rsid w:val="00895B3F"/>
    <w:rsid w:val="008A06A3"/>
    <w:rsid w:val="008A207A"/>
    <w:rsid w:val="008A58B4"/>
    <w:rsid w:val="008C0421"/>
    <w:rsid w:val="008C28EE"/>
    <w:rsid w:val="008C3404"/>
    <w:rsid w:val="008C669F"/>
    <w:rsid w:val="008D1F24"/>
    <w:rsid w:val="008D4293"/>
    <w:rsid w:val="008F0623"/>
    <w:rsid w:val="008F1D65"/>
    <w:rsid w:val="008F4853"/>
    <w:rsid w:val="008F669D"/>
    <w:rsid w:val="008F7FF4"/>
    <w:rsid w:val="00904580"/>
    <w:rsid w:val="00911880"/>
    <w:rsid w:val="00912BB8"/>
    <w:rsid w:val="00914F97"/>
    <w:rsid w:val="00940765"/>
    <w:rsid w:val="0094346F"/>
    <w:rsid w:val="009509F1"/>
    <w:rsid w:val="0095591C"/>
    <w:rsid w:val="00967D26"/>
    <w:rsid w:val="00970F60"/>
    <w:rsid w:val="00971C9F"/>
    <w:rsid w:val="00972E2D"/>
    <w:rsid w:val="00984463"/>
    <w:rsid w:val="00986CE1"/>
    <w:rsid w:val="0099123E"/>
    <w:rsid w:val="009A5491"/>
    <w:rsid w:val="009D1115"/>
    <w:rsid w:val="009D1344"/>
    <w:rsid w:val="009D247B"/>
    <w:rsid w:val="009D6D40"/>
    <w:rsid w:val="009E2F01"/>
    <w:rsid w:val="009E5325"/>
    <w:rsid w:val="009F2D22"/>
    <w:rsid w:val="009F35AC"/>
    <w:rsid w:val="009F4C50"/>
    <w:rsid w:val="00A01008"/>
    <w:rsid w:val="00A01E6D"/>
    <w:rsid w:val="00A10CA1"/>
    <w:rsid w:val="00A12803"/>
    <w:rsid w:val="00A12D18"/>
    <w:rsid w:val="00A13EDB"/>
    <w:rsid w:val="00A35601"/>
    <w:rsid w:val="00A46131"/>
    <w:rsid w:val="00A47899"/>
    <w:rsid w:val="00A639C7"/>
    <w:rsid w:val="00A67967"/>
    <w:rsid w:val="00A82414"/>
    <w:rsid w:val="00A90223"/>
    <w:rsid w:val="00AA06E6"/>
    <w:rsid w:val="00AA5068"/>
    <w:rsid w:val="00AB321E"/>
    <w:rsid w:val="00AB4EAA"/>
    <w:rsid w:val="00AB502E"/>
    <w:rsid w:val="00AB5AAE"/>
    <w:rsid w:val="00AD0765"/>
    <w:rsid w:val="00AD4879"/>
    <w:rsid w:val="00AD78C5"/>
    <w:rsid w:val="00AE3456"/>
    <w:rsid w:val="00AE50CA"/>
    <w:rsid w:val="00AF523A"/>
    <w:rsid w:val="00AF7524"/>
    <w:rsid w:val="00B009E8"/>
    <w:rsid w:val="00B01A2E"/>
    <w:rsid w:val="00B01F65"/>
    <w:rsid w:val="00B02832"/>
    <w:rsid w:val="00B02DBD"/>
    <w:rsid w:val="00B114E1"/>
    <w:rsid w:val="00B13F9C"/>
    <w:rsid w:val="00B2237B"/>
    <w:rsid w:val="00B22FE8"/>
    <w:rsid w:val="00B2428F"/>
    <w:rsid w:val="00B24C76"/>
    <w:rsid w:val="00B2595D"/>
    <w:rsid w:val="00B461C5"/>
    <w:rsid w:val="00B711C6"/>
    <w:rsid w:val="00B72382"/>
    <w:rsid w:val="00B74023"/>
    <w:rsid w:val="00B75B4E"/>
    <w:rsid w:val="00B77EE9"/>
    <w:rsid w:val="00B85E30"/>
    <w:rsid w:val="00B93908"/>
    <w:rsid w:val="00BA2EAD"/>
    <w:rsid w:val="00BA4040"/>
    <w:rsid w:val="00BA68FC"/>
    <w:rsid w:val="00BB0A5A"/>
    <w:rsid w:val="00BB61A9"/>
    <w:rsid w:val="00BC1BB5"/>
    <w:rsid w:val="00BC486E"/>
    <w:rsid w:val="00BD34FB"/>
    <w:rsid w:val="00BF1221"/>
    <w:rsid w:val="00BF26C5"/>
    <w:rsid w:val="00BF6ACB"/>
    <w:rsid w:val="00C0768A"/>
    <w:rsid w:val="00C1107E"/>
    <w:rsid w:val="00C153BD"/>
    <w:rsid w:val="00C1655A"/>
    <w:rsid w:val="00C23F45"/>
    <w:rsid w:val="00C4196F"/>
    <w:rsid w:val="00C41E14"/>
    <w:rsid w:val="00C4413E"/>
    <w:rsid w:val="00C46251"/>
    <w:rsid w:val="00C535A5"/>
    <w:rsid w:val="00C5766A"/>
    <w:rsid w:val="00C66857"/>
    <w:rsid w:val="00C72754"/>
    <w:rsid w:val="00C74C98"/>
    <w:rsid w:val="00C7590A"/>
    <w:rsid w:val="00C776EC"/>
    <w:rsid w:val="00C82153"/>
    <w:rsid w:val="00C91792"/>
    <w:rsid w:val="00C94D7C"/>
    <w:rsid w:val="00C950B2"/>
    <w:rsid w:val="00C97F28"/>
    <w:rsid w:val="00CA2E4E"/>
    <w:rsid w:val="00CA52E3"/>
    <w:rsid w:val="00CB2CD8"/>
    <w:rsid w:val="00CD1EF6"/>
    <w:rsid w:val="00CD21E0"/>
    <w:rsid w:val="00CF6794"/>
    <w:rsid w:val="00CF72F2"/>
    <w:rsid w:val="00D04D53"/>
    <w:rsid w:val="00D124F9"/>
    <w:rsid w:val="00D1371E"/>
    <w:rsid w:val="00D34DCE"/>
    <w:rsid w:val="00D352A6"/>
    <w:rsid w:val="00D41E05"/>
    <w:rsid w:val="00D42B1A"/>
    <w:rsid w:val="00D45C9F"/>
    <w:rsid w:val="00D526F5"/>
    <w:rsid w:val="00D64300"/>
    <w:rsid w:val="00D64FC4"/>
    <w:rsid w:val="00D74D34"/>
    <w:rsid w:val="00D74DF9"/>
    <w:rsid w:val="00D75F14"/>
    <w:rsid w:val="00D84BB0"/>
    <w:rsid w:val="00D86C8B"/>
    <w:rsid w:val="00D872F0"/>
    <w:rsid w:val="00D8743E"/>
    <w:rsid w:val="00D9708C"/>
    <w:rsid w:val="00DA15B2"/>
    <w:rsid w:val="00DA5CCF"/>
    <w:rsid w:val="00DA7FA4"/>
    <w:rsid w:val="00DC07BE"/>
    <w:rsid w:val="00DC44F7"/>
    <w:rsid w:val="00DD1440"/>
    <w:rsid w:val="00DD182C"/>
    <w:rsid w:val="00DD2E20"/>
    <w:rsid w:val="00DD319A"/>
    <w:rsid w:val="00DD3744"/>
    <w:rsid w:val="00DF4051"/>
    <w:rsid w:val="00DF59D4"/>
    <w:rsid w:val="00E06720"/>
    <w:rsid w:val="00E102CA"/>
    <w:rsid w:val="00E107B8"/>
    <w:rsid w:val="00E179BA"/>
    <w:rsid w:val="00E37CD6"/>
    <w:rsid w:val="00E43516"/>
    <w:rsid w:val="00E445B5"/>
    <w:rsid w:val="00E452FE"/>
    <w:rsid w:val="00E5141A"/>
    <w:rsid w:val="00E51E3A"/>
    <w:rsid w:val="00E60F59"/>
    <w:rsid w:val="00E63904"/>
    <w:rsid w:val="00E666AF"/>
    <w:rsid w:val="00E72A99"/>
    <w:rsid w:val="00E823EC"/>
    <w:rsid w:val="00E84F52"/>
    <w:rsid w:val="00E858CC"/>
    <w:rsid w:val="00E85FBF"/>
    <w:rsid w:val="00E97E3D"/>
    <w:rsid w:val="00EA1938"/>
    <w:rsid w:val="00EA696F"/>
    <w:rsid w:val="00EA78EA"/>
    <w:rsid w:val="00EB2BAE"/>
    <w:rsid w:val="00EC0A27"/>
    <w:rsid w:val="00EC7CE8"/>
    <w:rsid w:val="00ED1850"/>
    <w:rsid w:val="00ED3990"/>
    <w:rsid w:val="00EE2806"/>
    <w:rsid w:val="00EF0B4B"/>
    <w:rsid w:val="00EF536C"/>
    <w:rsid w:val="00EF7A25"/>
    <w:rsid w:val="00F0314F"/>
    <w:rsid w:val="00F04E56"/>
    <w:rsid w:val="00F05F0A"/>
    <w:rsid w:val="00F12E27"/>
    <w:rsid w:val="00F22C0D"/>
    <w:rsid w:val="00F26160"/>
    <w:rsid w:val="00F27635"/>
    <w:rsid w:val="00F35B45"/>
    <w:rsid w:val="00F373FF"/>
    <w:rsid w:val="00F46497"/>
    <w:rsid w:val="00F61648"/>
    <w:rsid w:val="00F62153"/>
    <w:rsid w:val="00F7382F"/>
    <w:rsid w:val="00F76761"/>
    <w:rsid w:val="00F7754F"/>
    <w:rsid w:val="00F91C2C"/>
    <w:rsid w:val="00F93850"/>
    <w:rsid w:val="00F96906"/>
    <w:rsid w:val="00FA00D3"/>
    <w:rsid w:val="00FA3E33"/>
    <w:rsid w:val="00FC2CF5"/>
    <w:rsid w:val="00FD68E4"/>
    <w:rsid w:val="00FD73CC"/>
    <w:rsid w:val="00FE6504"/>
    <w:rsid w:val="00FE7900"/>
    <w:rsid w:val="00FE7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6D0420"/>
  <w15:docId w15:val="{1F316CF0-FF45-4B07-8190-046A9C8EF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359D"/>
    <w:rPr>
      <w:sz w:val="24"/>
      <w:szCs w:val="24"/>
    </w:rPr>
  </w:style>
  <w:style w:type="paragraph" w:styleId="Heading1">
    <w:name w:val="heading 1"/>
    <w:basedOn w:val="Normal"/>
    <w:next w:val="Normal"/>
    <w:autoRedefine/>
    <w:qFormat/>
    <w:rsid w:val="0054359D"/>
    <w:pPr>
      <w:keepNext/>
      <w:numPr>
        <w:numId w:val="1"/>
      </w:numPr>
      <w:spacing w:before="120" w:after="120"/>
      <w:ind w:right="432"/>
      <w:outlineLvl w:val="0"/>
    </w:pPr>
    <w:rPr>
      <w:b/>
      <w:bCs/>
      <w:iCs/>
      <w:caps/>
    </w:rPr>
  </w:style>
  <w:style w:type="paragraph" w:styleId="Heading2">
    <w:name w:val="heading 2"/>
    <w:basedOn w:val="Normal"/>
    <w:next w:val="Normal"/>
    <w:autoRedefine/>
    <w:qFormat/>
    <w:rsid w:val="0054359D"/>
    <w:pPr>
      <w:keepNext/>
      <w:numPr>
        <w:ilvl w:val="1"/>
        <w:numId w:val="1"/>
      </w:numPr>
      <w:spacing w:before="120" w:after="120"/>
      <w:ind w:right="720"/>
      <w:jc w:val="both"/>
      <w:outlineLvl w:val="1"/>
    </w:pPr>
    <w:rPr>
      <w:rFonts w:cs="Arial"/>
      <w:b/>
      <w:bCs/>
      <w:iCs/>
      <w:caps/>
      <w:noProof/>
      <w:szCs w:val="28"/>
    </w:rPr>
  </w:style>
  <w:style w:type="paragraph" w:styleId="Heading3">
    <w:name w:val="heading 3"/>
    <w:basedOn w:val="Normal"/>
    <w:next w:val="Normal"/>
    <w:autoRedefine/>
    <w:qFormat/>
    <w:rsid w:val="0054359D"/>
    <w:pPr>
      <w:keepNext/>
      <w:numPr>
        <w:ilvl w:val="2"/>
        <w:numId w:val="1"/>
      </w:numPr>
      <w:spacing w:before="120" w:after="120"/>
      <w:ind w:right="720"/>
      <w:jc w:val="both"/>
      <w:outlineLvl w:val="2"/>
    </w:pPr>
    <w:rPr>
      <w:rFonts w:cs="Arial"/>
      <w:b/>
      <w:bCs/>
      <w:i/>
      <w:caps/>
      <w:noProof/>
      <w:szCs w:val="26"/>
    </w:rPr>
  </w:style>
  <w:style w:type="paragraph" w:styleId="Heading4">
    <w:name w:val="heading 4"/>
    <w:basedOn w:val="Normal"/>
    <w:next w:val="Normal"/>
    <w:autoRedefine/>
    <w:qFormat/>
    <w:rsid w:val="0054359D"/>
    <w:pPr>
      <w:keepNext/>
      <w:numPr>
        <w:ilvl w:val="3"/>
        <w:numId w:val="1"/>
      </w:numPr>
      <w:spacing w:before="120" w:after="120"/>
      <w:ind w:right="720"/>
      <w:jc w:val="both"/>
      <w:outlineLvl w:val="3"/>
    </w:pPr>
    <w:rPr>
      <w:b/>
      <w:bCs/>
      <w:i/>
      <w:noProof/>
      <w:szCs w:val="28"/>
    </w:rPr>
  </w:style>
  <w:style w:type="paragraph" w:styleId="Heading5">
    <w:name w:val="heading 5"/>
    <w:basedOn w:val="Normal"/>
    <w:next w:val="Normal"/>
    <w:qFormat/>
    <w:rsid w:val="0054359D"/>
    <w:pPr>
      <w:keepNext/>
      <w:tabs>
        <w:tab w:val="center" w:pos="4680"/>
      </w:tabs>
      <w:outlineLvl w:val="4"/>
    </w:pPr>
    <w:rPr>
      <w:b/>
      <w:u w:val="single"/>
    </w:rPr>
  </w:style>
  <w:style w:type="paragraph" w:styleId="Heading6">
    <w:name w:val="heading 6"/>
    <w:basedOn w:val="Normal"/>
    <w:next w:val="Normal"/>
    <w:qFormat/>
    <w:rsid w:val="0054359D"/>
    <w:pPr>
      <w:keepNext/>
      <w:spacing w:line="480" w:lineRule="auto"/>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54359D"/>
    <w:pPr>
      <w:ind w:left="720" w:hanging="720"/>
      <w:jc w:val="both"/>
    </w:pPr>
    <w:rPr>
      <w:szCs w:val="20"/>
    </w:rPr>
  </w:style>
  <w:style w:type="paragraph" w:styleId="PlainText">
    <w:name w:val="Plain Text"/>
    <w:basedOn w:val="Normal"/>
    <w:rsid w:val="0054359D"/>
    <w:pPr>
      <w:widowControl w:val="0"/>
      <w:spacing w:line="480" w:lineRule="auto"/>
      <w:ind w:left="720" w:hanging="720"/>
    </w:pPr>
    <w:rPr>
      <w:szCs w:val="20"/>
    </w:rPr>
  </w:style>
  <w:style w:type="paragraph" w:styleId="TOC1">
    <w:name w:val="toc 1"/>
    <w:basedOn w:val="Normal"/>
    <w:next w:val="Normal"/>
    <w:autoRedefine/>
    <w:semiHidden/>
    <w:rsid w:val="0054359D"/>
    <w:pPr>
      <w:spacing w:before="120" w:after="120"/>
      <w:ind w:left="720" w:hanging="720"/>
    </w:pPr>
    <w:rPr>
      <w:noProof/>
    </w:rPr>
  </w:style>
  <w:style w:type="paragraph" w:styleId="TOC2">
    <w:name w:val="toc 2"/>
    <w:basedOn w:val="BodyText"/>
    <w:next w:val="Normal"/>
    <w:autoRedefine/>
    <w:semiHidden/>
    <w:rsid w:val="0054359D"/>
    <w:pPr>
      <w:spacing w:before="120"/>
      <w:ind w:left="1008" w:hanging="720"/>
    </w:pPr>
    <w:rPr>
      <w:b/>
      <w:iCs/>
      <w:smallCaps/>
      <w:szCs w:val="26"/>
    </w:rPr>
  </w:style>
  <w:style w:type="paragraph" w:styleId="TOC3">
    <w:name w:val="toc 3"/>
    <w:basedOn w:val="BodyText"/>
    <w:next w:val="Normal"/>
    <w:autoRedefine/>
    <w:semiHidden/>
    <w:rsid w:val="0054359D"/>
    <w:pPr>
      <w:spacing w:before="120"/>
      <w:ind w:left="1296" w:right="720" w:hanging="720"/>
      <w:jc w:val="both"/>
    </w:pPr>
    <w:rPr>
      <w:b/>
      <w:bCs/>
      <w:i/>
      <w:smallCaps/>
    </w:rPr>
  </w:style>
  <w:style w:type="paragraph" w:styleId="TOC4">
    <w:name w:val="toc 4"/>
    <w:basedOn w:val="BodyText"/>
    <w:next w:val="Normal"/>
    <w:autoRedefine/>
    <w:semiHidden/>
    <w:rsid w:val="0054359D"/>
    <w:pPr>
      <w:spacing w:before="120"/>
      <w:ind w:left="1440" w:right="432" w:hanging="720"/>
    </w:pPr>
    <w:rPr>
      <w:b/>
      <w:bCs/>
    </w:rPr>
  </w:style>
  <w:style w:type="character" w:styleId="Hyperlink">
    <w:name w:val="Hyperlink"/>
    <w:rsid w:val="0054359D"/>
    <w:rPr>
      <w:color w:val="0000FF"/>
      <w:u w:val="single"/>
    </w:rPr>
  </w:style>
  <w:style w:type="paragraph" w:styleId="BodyText">
    <w:name w:val="Body Text"/>
    <w:basedOn w:val="Normal"/>
    <w:link w:val="BodyTextChar"/>
    <w:rsid w:val="0054359D"/>
    <w:pPr>
      <w:spacing w:after="120"/>
    </w:pPr>
  </w:style>
  <w:style w:type="paragraph" w:styleId="Footer">
    <w:name w:val="footer"/>
    <w:basedOn w:val="Normal"/>
    <w:rsid w:val="0054359D"/>
    <w:pPr>
      <w:tabs>
        <w:tab w:val="center" w:pos="4320"/>
        <w:tab w:val="right" w:pos="8640"/>
      </w:tabs>
    </w:pPr>
  </w:style>
  <w:style w:type="character" w:styleId="PageNumber">
    <w:name w:val="page number"/>
    <w:basedOn w:val="DefaultParagraphFont"/>
    <w:rsid w:val="0054359D"/>
  </w:style>
  <w:style w:type="paragraph" w:styleId="BodyTextIndent">
    <w:name w:val="Body Text Indent"/>
    <w:basedOn w:val="Normal"/>
    <w:link w:val="BodyTextIndentChar"/>
    <w:rsid w:val="0054359D"/>
    <w:pPr>
      <w:spacing w:line="480" w:lineRule="auto"/>
      <w:ind w:firstLine="720"/>
    </w:pPr>
  </w:style>
  <w:style w:type="paragraph" w:styleId="BodyText2">
    <w:name w:val="Body Text 2"/>
    <w:basedOn w:val="Normal"/>
    <w:rsid w:val="0054359D"/>
    <w:pPr>
      <w:spacing w:line="480" w:lineRule="auto"/>
      <w:jc w:val="both"/>
    </w:pPr>
  </w:style>
  <w:style w:type="paragraph" w:styleId="BodyText3">
    <w:name w:val="Body Text 3"/>
    <w:basedOn w:val="Normal"/>
    <w:rsid w:val="0054359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spacing w:line="480" w:lineRule="auto"/>
      <w:jc w:val="both"/>
    </w:pPr>
    <w:rPr>
      <w:b/>
      <w:color w:val="000000"/>
      <w:szCs w:val="20"/>
    </w:rPr>
  </w:style>
  <w:style w:type="paragraph" w:styleId="BodyTextIndent3">
    <w:name w:val="Body Text Indent 3"/>
    <w:basedOn w:val="Normal"/>
    <w:rsid w:val="0054359D"/>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480" w:lineRule="auto"/>
      <w:ind w:left="720" w:hanging="720"/>
      <w:jc w:val="both"/>
    </w:pPr>
    <w:rPr>
      <w:b/>
      <w:color w:val="000000"/>
      <w:szCs w:val="20"/>
    </w:rPr>
  </w:style>
  <w:style w:type="character" w:customStyle="1" w:styleId="BodyTextIndent2Char">
    <w:name w:val="Body Text Indent 2 Char"/>
    <w:basedOn w:val="DefaultParagraphFont"/>
    <w:link w:val="BodyTextIndent2"/>
    <w:rsid w:val="0024114D"/>
    <w:rPr>
      <w:sz w:val="24"/>
    </w:rPr>
  </w:style>
  <w:style w:type="character" w:customStyle="1" w:styleId="BodyTextIndentChar">
    <w:name w:val="Body Text Indent Char"/>
    <w:basedOn w:val="DefaultParagraphFont"/>
    <w:link w:val="BodyTextIndent"/>
    <w:rsid w:val="0024114D"/>
    <w:rPr>
      <w:sz w:val="24"/>
      <w:szCs w:val="24"/>
    </w:rPr>
  </w:style>
  <w:style w:type="paragraph" w:styleId="BalloonText">
    <w:name w:val="Balloon Text"/>
    <w:basedOn w:val="Normal"/>
    <w:link w:val="BalloonTextChar"/>
    <w:rsid w:val="0080449E"/>
    <w:rPr>
      <w:rFonts w:ascii="Tahoma" w:hAnsi="Tahoma" w:cs="Tahoma"/>
      <w:sz w:val="16"/>
      <w:szCs w:val="16"/>
    </w:rPr>
  </w:style>
  <w:style w:type="character" w:customStyle="1" w:styleId="BalloonTextChar">
    <w:name w:val="Balloon Text Char"/>
    <w:basedOn w:val="DefaultParagraphFont"/>
    <w:link w:val="BalloonText"/>
    <w:rsid w:val="0080449E"/>
    <w:rPr>
      <w:rFonts w:ascii="Tahoma" w:hAnsi="Tahoma" w:cs="Tahoma"/>
      <w:sz w:val="16"/>
      <w:szCs w:val="16"/>
    </w:rPr>
  </w:style>
  <w:style w:type="paragraph" w:styleId="ListParagraph">
    <w:name w:val="List Paragraph"/>
    <w:basedOn w:val="Normal"/>
    <w:uiPriority w:val="34"/>
    <w:qFormat/>
    <w:rsid w:val="009509F1"/>
    <w:pPr>
      <w:ind w:left="720"/>
      <w:contextualSpacing/>
    </w:pPr>
  </w:style>
  <w:style w:type="paragraph" w:customStyle="1" w:styleId="Style">
    <w:name w:val="Style"/>
    <w:rsid w:val="00ED3990"/>
    <w:pPr>
      <w:widowControl w:val="0"/>
      <w:autoSpaceDE w:val="0"/>
      <w:autoSpaceDN w:val="0"/>
      <w:adjustRightInd w:val="0"/>
    </w:pPr>
    <w:rPr>
      <w:rFonts w:ascii="Arial" w:hAnsi="Arial" w:cs="Arial"/>
      <w:sz w:val="24"/>
      <w:szCs w:val="24"/>
    </w:rPr>
  </w:style>
  <w:style w:type="character" w:styleId="CommentReference">
    <w:name w:val="annotation reference"/>
    <w:basedOn w:val="DefaultParagraphFont"/>
    <w:semiHidden/>
    <w:unhideWhenUsed/>
    <w:rsid w:val="008567D0"/>
    <w:rPr>
      <w:sz w:val="16"/>
      <w:szCs w:val="16"/>
    </w:rPr>
  </w:style>
  <w:style w:type="paragraph" w:styleId="CommentText">
    <w:name w:val="annotation text"/>
    <w:basedOn w:val="Normal"/>
    <w:link w:val="CommentTextChar"/>
    <w:semiHidden/>
    <w:unhideWhenUsed/>
    <w:rsid w:val="008567D0"/>
    <w:rPr>
      <w:sz w:val="20"/>
      <w:szCs w:val="20"/>
    </w:rPr>
  </w:style>
  <w:style w:type="character" w:customStyle="1" w:styleId="CommentTextChar">
    <w:name w:val="Comment Text Char"/>
    <w:basedOn w:val="DefaultParagraphFont"/>
    <w:link w:val="CommentText"/>
    <w:semiHidden/>
    <w:rsid w:val="008567D0"/>
  </w:style>
  <w:style w:type="paragraph" w:styleId="CommentSubject">
    <w:name w:val="annotation subject"/>
    <w:basedOn w:val="CommentText"/>
    <w:next w:val="CommentText"/>
    <w:link w:val="CommentSubjectChar"/>
    <w:semiHidden/>
    <w:unhideWhenUsed/>
    <w:rsid w:val="008567D0"/>
    <w:rPr>
      <w:b/>
      <w:bCs/>
    </w:rPr>
  </w:style>
  <w:style w:type="character" w:customStyle="1" w:styleId="CommentSubjectChar">
    <w:name w:val="Comment Subject Char"/>
    <w:basedOn w:val="CommentTextChar"/>
    <w:link w:val="CommentSubject"/>
    <w:semiHidden/>
    <w:rsid w:val="008567D0"/>
    <w:rPr>
      <w:b/>
      <w:bCs/>
    </w:rPr>
  </w:style>
  <w:style w:type="character" w:customStyle="1" w:styleId="UnresolvedMention1">
    <w:name w:val="Unresolved Mention1"/>
    <w:basedOn w:val="DefaultParagraphFont"/>
    <w:uiPriority w:val="99"/>
    <w:semiHidden/>
    <w:unhideWhenUsed/>
    <w:rsid w:val="00536FEE"/>
    <w:rPr>
      <w:color w:val="808080"/>
      <w:shd w:val="clear" w:color="auto" w:fill="E6E6E6"/>
    </w:rPr>
  </w:style>
  <w:style w:type="paragraph" w:styleId="FootnoteText">
    <w:name w:val="footnote text"/>
    <w:basedOn w:val="Normal"/>
    <w:link w:val="FootnoteTextChar"/>
    <w:semiHidden/>
    <w:unhideWhenUsed/>
    <w:rsid w:val="008C28EE"/>
    <w:rPr>
      <w:sz w:val="20"/>
      <w:szCs w:val="20"/>
    </w:rPr>
  </w:style>
  <w:style w:type="character" w:customStyle="1" w:styleId="FootnoteTextChar">
    <w:name w:val="Footnote Text Char"/>
    <w:basedOn w:val="DefaultParagraphFont"/>
    <w:link w:val="FootnoteText"/>
    <w:semiHidden/>
    <w:rsid w:val="008C28EE"/>
  </w:style>
  <w:style w:type="character" w:styleId="FootnoteReference">
    <w:name w:val="footnote reference"/>
    <w:basedOn w:val="DefaultParagraphFont"/>
    <w:semiHidden/>
    <w:unhideWhenUsed/>
    <w:rsid w:val="008C28EE"/>
    <w:rPr>
      <w:vertAlign w:val="superscript"/>
    </w:rPr>
  </w:style>
  <w:style w:type="paragraph" w:styleId="Header">
    <w:name w:val="header"/>
    <w:basedOn w:val="Normal"/>
    <w:link w:val="HeaderChar"/>
    <w:uiPriority w:val="99"/>
    <w:unhideWhenUsed/>
    <w:rsid w:val="00F04E56"/>
    <w:pPr>
      <w:tabs>
        <w:tab w:val="center" w:pos="4680"/>
        <w:tab w:val="right" w:pos="9360"/>
      </w:tabs>
    </w:pPr>
  </w:style>
  <w:style w:type="character" w:customStyle="1" w:styleId="HeaderChar">
    <w:name w:val="Header Char"/>
    <w:basedOn w:val="DefaultParagraphFont"/>
    <w:link w:val="Header"/>
    <w:uiPriority w:val="99"/>
    <w:rsid w:val="00F04E56"/>
    <w:rPr>
      <w:sz w:val="24"/>
      <w:szCs w:val="24"/>
    </w:rPr>
  </w:style>
  <w:style w:type="character" w:customStyle="1" w:styleId="UnresolvedMention2">
    <w:name w:val="Unresolved Mention2"/>
    <w:basedOn w:val="DefaultParagraphFont"/>
    <w:uiPriority w:val="99"/>
    <w:semiHidden/>
    <w:unhideWhenUsed/>
    <w:rsid w:val="00C41E14"/>
    <w:rPr>
      <w:color w:val="808080"/>
      <w:shd w:val="clear" w:color="auto" w:fill="E6E6E6"/>
    </w:rPr>
  </w:style>
  <w:style w:type="character" w:styleId="LineNumber">
    <w:name w:val="line number"/>
    <w:basedOn w:val="DefaultParagraphFont"/>
    <w:uiPriority w:val="99"/>
    <w:rsid w:val="000D18AB"/>
    <w:rPr>
      <w:rFonts w:ascii="Times New Roman" w:hAnsi="Times New Roman" w:cs="Arial"/>
      <w:bCs/>
      <w:sz w:val="24"/>
      <w:szCs w:val="22"/>
    </w:rPr>
  </w:style>
  <w:style w:type="character" w:customStyle="1" w:styleId="BodyTextChar">
    <w:name w:val="Body Text Char"/>
    <w:basedOn w:val="DefaultParagraphFont"/>
    <w:link w:val="BodyText"/>
    <w:rsid w:val="00A639C7"/>
    <w:rPr>
      <w:sz w:val="24"/>
      <w:szCs w:val="24"/>
    </w:rPr>
  </w:style>
  <w:style w:type="paragraph" w:customStyle="1" w:styleId="StyleBodyTextLinespacingMultiple165li">
    <w:name w:val="Style Body Text + Line spacing:  Multiple 1.65 li"/>
    <w:basedOn w:val="BodyText"/>
    <w:uiPriority w:val="99"/>
    <w:rsid w:val="007E38A8"/>
    <w:pPr>
      <w:spacing w:after="0" w:line="480" w:lineRule="auto"/>
      <w:ind w:firstLine="720"/>
      <w:jc w:val="both"/>
    </w:pPr>
    <w:rPr>
      <w:rFonts w:ascii="Georgia" w:hAnsi="Georgia"/>
      <w:kern w:val="16"/>
      <w:sz w:val="22"/>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21361">
      <w:bodyDiv w:val="1"/>
      <w:marLeft w:val="0"/>
      <w:marRight w:val="0"/>
      <w:marTop w:val="0"/>
      <w:marBottom w:val="0"/>
      <w:divBdr>
        <w:top w:val="none" w:sz="0" w:space="0" w:color="auto"/>
        <w:left w:val="none" w:sz="0" w:space="0" w:color="auto"/>
        <w:bottom w:val="none" w:sz="0" w:space="0" w:color="auto"/>
        <w:right w:val="none" w:sz="0" w:space="0" w:color="auto"/>
      </w:divBdr>
      <w:divsChild>
        <w:div w:id="2132239274">
          <w:marLeft w:val="0"/>
          <w:marRight w:val="0"/>
          <w:marTop w:val="0"/>
          <w:marBottom w:val="0"/>
          <w:divBdr>
            <w:top w:val="none" w:sz="0" w:space="0" w:color="auto"/>
            <w:left w:val="none" w:sz="0" w:space="0" w:color="auto"/>
            <w:bottom w:val="none" w:sz="0" w:space="0" w:color="auto"/>
            <w:right w:val="none" w:sz="0" w:space="0" w:color="auto"/>
          </w:divBdr>
        </w:div>
        <w:div w:id="2063944484">
          <w:marLeft w:val="0"/>
          <w:marRight w:val="0"/>
          <w:marTop w:val="240"/>
          <w:marBottom w:val="0"/>
          <w:divBdr>
            <w:top w:val="none" w:sz="0" w:space="0" w:color="auto"/>
            <w:left w:val="none" w:sz="0" w:space="0" w:color="auto"/>
            <w:bottom w:val="none" w:sz="0" w:space="0" w:color="auto"/>
            <w:right w:val="none" w:sz="0" w:space="0" w:color="auto"/>
          </w:divBdr>
          <w:divsChild>
            <w:div w:id="532767277">
              <w:marLeft w:val="0"/>
              <w:marRight w:val="0"/>
              <w:marTop w:val="0"/>
              <w:marBottom w:val="0"/>
              <w:divBdr>
                <w:top w:val="none" w:sz="0" w:space="0" w:color="auto"/>
                <w:left w:val="none" w:sz="0" w:space="0" w:color="auto"/>
                <w:bottom w:val="none" w:sz="0" w:space="0" w:color="auto"/>
                <w:right w:val="none" w:sz="0" w:space="0" w:color="auto"/>
              </w:divBdr>
              <w:divsChild>
                <w:div w:id="43825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046713">
          <w:marLeft w:val="0"/>
          <w:marRight w:val="0"/>
          <w:marTop w:val="240"/>
          <w:marBottom w:val="0"/>
          <w:divBdr>
            <w:top w:val="none" w:sz="0" w:space="0" w:color="auto"/>
            <w:left w:val="none" w:sz="0" w:space="0" w:color="auto"/>
            <w:bottom w:val="none" w:sz="0" w:space="0" w:color="auto"/>
            <w:right w:val="none" w:sz="0" w:space="0" w:color="auto"/>
          </w:divBdr>
          <w:divsChild>
            <w:div w:id="781919289">
              <w:marLeft w:val="0"/>
              <w:marRight w:val="0"/>
              <w:marTop w:val="0"/>
              <w:marBottom w:val="0"/>
              <w:divBdr>
                <w:top w:val="none" w:sz="0" w:space="0" w:color="auto"/>
                <w:left w:val="none" w:sz="0" w:space="0" w:color="auto"/>
                <w:bottom w:val="none" w:sz="0" w:space="0" w:color="auto"/>
                <w:right w:val="none" w:sz="0" w:space="0" w:color="auto"/>
              </w:divBdr>
              <w:divsChild>
                <w:div w:id="138683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39220">
          <w:marLeft w:val="0"/>
          <w:marRight w:val="0"/>
          <w:marTop w:val="240"/>
          <w:marBottom w:val="0"/>
          <w:divBdr>
            <w:top w:val="none" w:sz="0" w:space="0" w:color="auto"/>
            <w:left w:val="none" w:sz="0" w:space="0" w:color="auto"/>
            <w:bottom w:val="none" w:sz="0" w:space="0" w:color="auto"/>
            <w:right w:val="none" w:sz="0" w:space="0" w:color="auto"/>
          </w:divBdr>
          <w:divsChild>
            <w:div w:id="1221752374">
              <w:marLeft w:val="0"/>
              <w:marRight w:val="0"/>
              <w:marTop w:val="0"/>
              <w:marBottom w:val="0"/>
              <w:divBdr>
                <w:top w:val="none" w:sz="0" w:space="0" w:color="auto"/>
                <w:left w:val="none" w:sz="0" w:space="0" w:color="auto"/>
                <w:bottom w:val="none" w:sz="0" w:space="0" w:color="auto"/>
                <w:right w:val="none" w:sz="0" w:space="0" w:color="auto"/>
              </w:divBdr>
              <w:divsChild>
                <w:div w:id="118289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16002">
          <w:marLeft w:val="0"/>
          <w:marRight w:val="0"/>
          <w:marTop w:val="240"/>
          <w:marBottom w:val="0"/>
          <w:divBdr>
            <w:top w:val="none" w:sz="0" w:space="0" w:color="auto"/>
            <w:left w:val="none" w:sz="0" w:space="0" w:color="auto"/>
            <w:bottom w:val="none" w:sz="0" w:space="0" w:color="auto"/>
            <w:right w:val="none" w:sz="0" w:space="0" w:color="auto"/>
          </w:divBdr>
          <w:divsChild>
            <w:div w:id="1829705526">
              <w:marLeft w:val="0"/>
              <w:marRight w:val="0"/>
              <w:marTop w:val="0"/>
              <w:marBottom w:val="0"/>
              <w:divBdr>
                <w:top w:val="none" w:sz="0" w:space="0" w:color="auto"/>
                <w:left w:val="none" w:sz="0" w:space="0" w:color="auto"/>
                <w:bottom w:val="none" w:sz="0" w:space="0" w:color="auto"/>
                <w:right w:val="none" w:sz="0" w:space="0" w:color="auto"/>
              </w:divBdr>
              <w:divsChild>
                <w:div w:id="115791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128365">
          <w:marLeft w:val="0"/>
          <w:marRight w:val="0"/>
          <w:marTop w:val="240"/>
          <w:marBottom w:val="0"/>
          <w:divBdr>
            <w:top w:val="none" w:sz="0" w:space="0" w:color="auto"/>
            <w:left w:val="none" w:sz="0" w:space="0" w:color="auto"/>
            <w:bottom w:val="none" w:sz="0" w:space="0" w:color="auto"/>
            <w:right w:val="none" w:sz="0" w:space="0" w:color="auto"/>
          </w:divBdr>
          <w:divsChild>
            <w:div w:id="8989025">
              <w:marLeft w:val="0"/>
              <w:marRight w:val="0"/>
              <w:marTop w:val="0"/>
              <w:marBottom w:val="0"/>
              <w:divBdr>
                <w:top w:val="none" w:sz="0" w:space="0" w:color="auto"/>
                <w:left w:val="none" w:sz="0" w:space="0" w:color="auto"/>
                <w:bottom w:val="none" w:sz="0" w:space="0" w:color="auto"/>
                <w:right w:val="none" w:sz="0" w:space="0" w:color="auto"/>
              </w:divBdr>
              <w:divsChild>
                <w:div w:id="20745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29511">
          <w:marLeft w:val="0"/>
          <w:marRight w:val="0"/>
          <w:marTop w:val="240"/>
          <w:marBottom w:val="0"/>
          <w:divBdr>
            <w:top w:val="none" w:sz="0" w:space="0" w:color="auto"/>
            <w:left w:val="none" w:sz="0" w:space="0" w:color="auto"/>
            <w:bottom w:val="none" w:sz="0" w:space="0" w:color="auto"/>
            <w:right w:val="none" w:sz="0" w:space="0" w:color="auto"/>
          </w:divBdr>
          <w:divsChild>
            <w:div w:id="856310872">
              <w:marLeft w:val="0"/>
              <w:marRight w:val="0"/>
              <w:marTop w:val="0"/>
              <w:marBottom w:val="0"/>
              <w:divBdr>
                <w:top w:val="none" w:sz="0" w:space="0" w:color="auto"/>
                <w:left w:val="none" w:sz="0" w:space="0" w:color="auto"/>
                <w:bottom w:val="none" w:sz="0" w:space="0" w:color="auto"/>
                <w:right w:val="none" w:sz="0" w:space="0" w:color="auto"/>
              </w:divBdr>
              <w:divsChild>
                <w:div w:id="30632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754256">
      <w:bodyDiv w:val="1"/>
      <w:marLeft w:val="0"/>
      <w:marRight w:val="0"/>
      <w:marTop w:val="0"/>
      <w:marBottom w:val="0"/>
      <w:divBdr>
        <w:top w:val="none" w:sz="0" w:space="0" w:color="auto"/>
        <w:left w:val="none" w:sz="0" w:space="0" w:color="auto"/>
        <w:bottom w:val="none" w:sz="0" w:space="0" w:color="auto"/>
        <w:right w:val="none" w:sz="0" w:space="0" w:color="auto"/>
      </w:divBdr>
    </w:div>
    <w:div w:id="334501644">
      <w:bodyDiv w:val="1"/>
      <w:marLeft w:val="0"/>
      <w:marRight w:val="0"/>
      <w:marTop w:val="0"/>
      <w:marBottom w:val="0"/>
      <w:divBdr>
        <w:top w:val="none" w:sz="0" w:space="0" w:color="auto"/>
        <w:left w:val="none" w:sz="0" w:space="0" w:color="auto"/>
        <w:bottom w:val="none" w:sz="0" w:space="0" w:color="auto"/>
        <w:right w:val="none" w:sz="0" w:space="0" w:color="auto"/>
      </w:divBdr>
    </w:div>
    <w:div w:id="475801542">
      <w:bodyDiv w:val="1"/>
      <w:marLeft w:val="0"/>
      <w:marRight w:val="0"/>
      <w:marTop w:val="0"/>
      <w:marBottom w:val="0"/>
      <w:divBdr>
        <w:top w:val="none" w:sz="0" w:space="0" w:color="auto"/>
        <w:left w:val="none" w:sz="0" w:space="0" w:color="auto"/>
        <w:bottom w:val="none" w:sz="0" w:space="0" w:color="auto"/>
        <w:right w:val="none" w:sz="0" w:space="0" w:color="auto"/>
      </w:divBdr>
    </w:div>
    <w:div w:id="515002796">
      <w:bodyDiv w:val="1"/>
      <w:marLeft w:val="0"/>
      <w:marRight w:val="0"/>
      <w:marTop w:val="0"/>
      <w:marBottom w:val="0"/>
      <w:divBdr>
        <w:top w:val="none" w:sz="0" w:space="0" w:color="auto"/>
        <w:left w:val="none" w:sz="0" w:space="0" w:color="auto"/>
        <w:bottom w:val="none" w:sz="0" w:space="0" w:color="auto"/>
        <w:right w:val="none" w:sz="0" w:space="0" w:color="auto"/>
      </w:divBdr>
    </w:div>
    <w:div w:id="515851986">
      <w:bodyDiv w:val="1"/>
      <w:marLeft w:val="0"/>
      <w:marRight w:val="0"/>
      <w:marTop w:val="0"/>
      <w:marBottom w:val="0"/>
      <w:divBdr>
        <w:top w:val="none" w:sz="0" w:space="0" w:color="auto"/>
        <w:left w:val="none" w:sz="0" w:space="0" w:color="auto"/>
        <w:bottom w:val="none" w:sz="0" w:space="0" w:color="auto"/>
        <w:right w:val="none" w:sz="0" w:space="0" w:color="auto"/>
      </w:divBdr>
    </w:div>
    <w:div w:id="537663451">
      <w:bodyDiv w:val="1"/>
      <w:marLeft w:val="0"/>
      <w:marRight w:val="0"/>
      <w:marTop w:val="0"/>
      <w:marBottom w:val="0"/>
      <w:divBdr>
        <w:top w:val="none" w:sz="0" w:space="0" w:color="auto"/>
        <w:left w:val="none" w:sz="0" w:space="0" w:color="auto"/>
        <w:bottom w:val="none" w:sz="0" w:space="0" w:color="auto"/>
        <w:right w:val="none" w:sz="0" w:space="0" w:color="auto"/>
      </w:divBdr>
    </w:div>
    <w:div w:id="860240495">
      <w:bodyDiv w:val="1"/>
      <w:marLeft w:val="0"/>
      <w:marRight w:val="0"/>
      <w:marTop w:val="0"/>
      <w:marBottom w:val="0"/>
      <w:divBdr>
        <w:top w:val="none" w:sz="0" w:space="0" w:color="auto"/>
        <w:left w:val="none" w:sz="0" w:space="0" w:color="auto"/>
        <w:bottom w:val="none" w:sz="0" w:space="0" w:color="auto"/>
        <w:right w:val="none" w:sz="0" w:space="0" w:color="auto"/>
      </w:divBdr>
    </w:div>
    <w:div w:id="1190265079">
      <w:bodyDiv w:val="1"/>
      <w:marLeft w:val="0"/>
      <w:marRight w:val="0"/>
      <w:marTop w:val="0"/>
      <w:marBottom w:val="0"/>
      <w:divBdr>
        <w:top w:val="none" w:sz="0" w:space="0" w:color="auto"/>
        <w:left w:val="none" w:sz="0" w:space="0" w:color="auto"/>
        <w:bottom w:val="none" w:sz="0" w:space="0" w:color="auto"/>
        <w:right w:val="none" w:sz="0" w:space="0" w:color="auto"/>
      </w:divBdr>
    </w:div>
    <w:div w:id="1302923126">
      <w:bodyDiv w:val="1"/>
      <w:marLeft w:val="0"/>
      <w:marRight w:val="0"/>
      <w:marTop w:val="0"/>
      <w:marBottom w:val="0"/>
      <w:divBdr>
        <w:top w:val="none" w:sz="0" w:space="0" w:color="auto"/>
        <w:left w:val="none" w:sz="0" w:space="0" w:color="auto"/>
        <w:bottom w:val="none" w:sz="0" w:space="0" w:color="auto"/>
        <w:right w:val="none" w:sz="0" w:space="0" w:color="auto"/>
      </w:divBdr>
    </w:div>
    <w:div w:id="1329751076">
      <w:bodyDiv w:val="1"/>
      <w:marLeft w:val="0"/>
      <w:marRight w:val="0"/>
      <w:marTop w:val="0"/>
      <w:marBottom w:val="0"/>
      <w:divBdr>
        <w:top w:val="none" w:sz="0" w:space="0" w:color="auto"/>
        <w:left w:val="none" w:sz="0" w:space="0" w:color="auto"/>
        <w:bottom w:val="none" w:sz="0" w:space="0" w:color="auto"/>
        <w:right w:val="none" w:sz="0" w:space="0" w:color="auto"/>
      </w:divBdr>
    </w:div>
    <w:div w:id="172741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64.64.110.134/nmac/hom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c.records@state.nm.u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a.kippenbrock@state.nm.u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na.kippenbrock@state.nm.us" TargetMode="External"/><Relationship Id="rId4" Type="http://schemas.openxmlformats.org/officeDocument/2006/relationships/settings" Target="settings.xml"/><Relationship Id="rId9" Type="http://schemas.openxmlformats.org/officeDocument/2006/relationships/hyperlink" Target="http://nmprc.state.nm.u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21F56-2EFC-4E36-B6ED-A8B09CA47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984</Words>
  <Characters>5013</Characters>
  <Application>Microsoft Office Word</Application>
  <DocSecurity>0</DocSecurity>
  <PresentationFormat>15|.DOCX</PresentationFormat>
  <Lines>83</Lines>
  <Paragraphs>26</Paragraphs>
  <ScaleCrop>false</ScaleCrop>
  <HeadingPairs>
    <vt:vector size="2" baseType="variant">
      <vt:variant>
        <vt:lpstr>Title</vt:lpstr>
      </vt:variant>
      <vt:variant>
        <vt:i4>1</vt:i4>
      </vt:variant>
    </vt:vector>
  </HeadingPairs>
  <TitlesOfParts>
    <vt:vector size="1" baseType="lpstr">
      <vt:lpstr>Proposed Notice to Customers (01319932-2).DOCX</vt:lpstr>
    </vt:vector>
  </TitlesOfParts>
  <Company/>
  <LinksUpToDate>false</LinksUpToDate>
  <CharactersWithSpaces>5971</CharactersWithSpaces>
  <SharedDoc>false</SharedDoc>
  <HLinks>
    <vt:vector size="12" baseType="variant">
      <vt:variant>
        <vt:i4>4522108</vt:i4>
      </vt:variant>
      <vt:variant>
        <vt:i4>3</vt:i4>
      </vt:variant>
      <vt:variant>
        <vt:i4>0</vt:i4>
      </vt:variant>
      <vt:variant>
        <vt:i4>5</vt:i4>
      </vt:variant>
      <vt:variant>
        <vt:lpwstr>mailto:stacey@childresslaw.com</vt:lpwstr>
      </vt:variant>
      <vt:variant>
        <vt:lpwstr/>
      </vt:variant>
      <vt:variant>
        <vt:i4>7340060</vt:i4>
      </vt:variant>
      <vt:variant>
        <vt:i4>0</vt:i4>
      </vt:variant>
      <vt:variant>
        <vt:i4>0</vt:i4>
      </vt:variant>
      <vt:variant>
        <vt:i4>5</vt:i4>
      </vt:variant>
      <vt:variant>
        <vt:lpwstr>mailto:evan.evans@epelectric.com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Notice to Customers (01319932-2).DOCX</dc:title>
  <dc:subject>wdNOSTAMP</dc:subject>
  <dc:creator>Stacey</dc:creator>
  <dc:description>DO NOT STAMP</dc:description>
  <cp:lastModifiedBy>Glick, Carolyn, PRC</cp:lastModifiedBy>
  <cp:revision>6</cp:revision>
  <cp:lastPrinted>2021-04-23T14:10:00Z</cp:lastPrinted>
  <dcterms:created xsi:type="dcterms:W3CDTF">2021-04-25T20:35:00Z</dcterms:created>
  <dcterms:modified xsi:type="dcterms:W3CDTF">2021-04-26T17:13:00Z</dcterms:modified>
</cp:coreProperties>
</file>